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120" w:beforeLines="50" w:afterLines="50"/>
        <w:rPr>
          <w:rStyle w:val="95"/>
          <w:rFonts w:asciiTheme="minorEastAsia" w:hAnsiTheme="minorEastAsia" w:eastAsiaTheme="minorEastAsia"/>
          <w:b/>
          <w:bCs/>
          <w:color w:val="FF0000"/>
          <w:sz w:val="36"/>
          <w:szCs w:val="28"/>
        </w:rPr>
      </w:pPr>
      <w:bookmarkStart w:id="0" w:name="_Toc24786"/>
      <w:bookmarkStart w:id="1" w:name="_Toc487015726"/>
      <w:bookmarkStart w:id="2" w:name="_Toc30101"/>
      <w:bookmarkStart w:id="3" w:name="_Toc478732466"/>
      <w:bookmarkStart w:id="4" w:name="_Toc31075"/>
      <w:bookmarkStart w:id="5" w:name="_Toc489430618"/>
      <w:bookmarkStart w:id="6" w:name="_Toc18449"/>
      <w:bookmarkStart w:id="7" w:name="_Toc9999"/>
      <w:bookmarkStart w:id="8" w:name="_Toc19565"/>
      <w:bookmarkStart w:id="9" w:name="_Toc361316481"/>
      <w:bookmarkStart w:id="10" w:name="_Toc361298243"/>
      <w:bookmarkStart w:id="11" w:name="_Toc321993750"/>
      <w:bookmarkStart w:id="12" w:name="_Toc376979858"/>
      <w:bookmarkStart w:id="13" w:name="_Toc361319784"/>
      <w:bookmarkStart w:id="14" w:name="_Toc347220738"/>
      <w:bookmarkStart w:id="15" w:name="_Toc361731109"/>
      <w:bookmarkStart w:id="16" w:name="_Toc353801837"/>
      <w:bookmarkStart w:id="17" w:name="_Toc354059904"/>
      <w:bookmarkStart w:id="18" w:name="_Toc346529864"/>
      <w:bookmarkStart w:id="19" w:name="_Toc345679915"/>
      <w:bookmarkStart w:id="20" w:name="_Toc346529843"/>
      <w:bookmarkStart w:id="21" w:name="_Toc361319791"/>
      <w:bookmarkStart w:id="96" w:name="_GoBack"/>
      <w:bookmarkEnd w:id="96"/>
      <w:r>
        <w:rPr>
          <w:rStyle w:val="95"/>
          <w:rFonts w:hint="eastAsia" w:asciiTheme="minorEastAsia" w:hAnsiTheme="minorEastAsia" w:eastAsiaTheme="minorEastAsia"/>
          <w:b/>
          <w:bCs/>
          <w:color w:val="FF0000"/>
          <w:sz w:val="36"/>
          <w:szCs w:val="28"/>
        </w:rPr>
        <w:t>一</w:t>
      </w:r>
      <w:r>
        <w:rPr>
          <w:rStyle w:val="95"/>
          <w:rFonts w:asciiTheme="minorEastAsia" w:hAnsiTheme="minorEastAsia" w:eastAsiaTheme="minorEastAsia"/>
          <w:b/>
          <w:bCs/>
          <w:color w:val="FF0000"/>
          <w:sz w:val="36"/>
          <w:szCs w:val="28"/>
        </w:rPr>
        <w:t xml:space="preserve">  </w:t>
      </w:r>
      <w:r>
        <w:rPr>
          <w:rStyle w:val="95"/>
          <w:rFonts w:hint="eastAsia" w:asciiTheme="minorEastAsia" w:hAnsiTheme="minorEastAsia" w:eastAsiaTheme="minorEastAsia"/>
          <w:b/>
          <w:bCs/>
          <w:color w:val="FF0000"/>
          <w:sz w:val="36"/>
          <w:szCs w:val="28"/>
        </w:rPr>
        <w:t>水环境质量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Start w:id="22" w:name="_Toc21713"/>
      <w:bookmarkStart w:id="23" w:name="_Toc25279"/>
      <w:bookmarkStart w:id="24" w:name="_Toc4887"/>
      <w:bookmarkStart w:id="25" w:name="_Toc489430619"/>
      <w:bookmarkStart w:id="26" w:name="_Toc17892"/>
      <w:bookmarkStart w:id="27" w:name="_Toc28599"/>
      <w:bookmarkStart w:id="28" w:name="_Toc4579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22"/>
    <w:bookmarkEnd w:id="23"/>
    <w:bookmarkEnd w:id="24"/>
    <w:bookmarkEnd w:id="25"/>
    <w:bookmarkEnd w:id="26"/>
    <w:bookmarkEnd w:id="27"/>
    <w:bookmarkEnd w:id="28"/>
    <w:p>
      <w:pPr>
        <w:pStyle w:val="3"/>
        <w:tabs>
          <w:tab w:val="right" w:pos="8504"/>
        </w:tabs>
        <w:adjustRightInd w:val="0"/>
        <w:snapToGrid w:val="0"/>
        <w:spacing w:before="120" w:beforeLines="50" w:afterLines="50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bookmarkStart w:id="29" w:name="_Toc1699"/>
      <w:bookmarkStart w:id="30" w:name="_Toc16491"/>
      <w:bookmarkStart w:id="31" w:name="_Toc6012"/>
      <w:bookmarkStart w:id="32" w:name="_Toc489430620"/>
      <w:bookmarkStart w:id="33" w:name="_Toc32721"/>
      <w:bookmarkStart w:id="34" w:name="_Toc29553"/>
      <w:bookmarkStart w:id="35" w:name="_Toc13784"/>
      <w:bookmarkStart w:id="36" w:name="_Toc376979860"/>
      <w:bookmarkStart w:id="37" w:name="_Toc361319786"/>
      <w:bookmarkStart w:id="38" w:name="_Toc361298245"/>
      <w:bookmarkStart w:id="39" w:name="_Toc393041857"/>
      <w:bookmarkStart w:id="40" w:name="_Toc361316483"/>
      <w:bookmarkStart w:id="41" w:name="_Toc361731111"/>
      <w:bookmarkStart w:id="42" w:name="_Toc353801840"/>
      <w:r>
        <w:rPr>
          <w:rFonts w:hint="eastAsia" w:asciiTheme="minorEastAsia" w:hAnsiTheme="minorEastAsia" w:eastAsiaTheme="minorEastAsia"/>
          <w:sz w:val="28"/>
          <w:szCs w:val="28"/>
        </w:rPr>
        <w:t>（一）地表水环境质量状况</w:t>
      </w:r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asciiTheme="minorEastAsia" w:hAnsiTheme="minorEastAsia" w:eastAsiaTheme="minorEastAsia"/>
          <w:sz w:val="28"/>
          <w:szCs w:val="28"/>
        </w:rPr>
        <w:tab/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bookmarkStart w:id="43" w:name="_Toc489430621"/>
      <w:bookmarkStart w:id="44" w:name="_Toc489430623"/>
      <w:r>
        <w:rPr>
          <w:rFonts w:hint="eastAsia" w:asciiTheme="minorEastAsia" w:hAnsiTheme="minorEastAsia" w:eastAsiaTheme="minorEastAsia"/>
          <w:bCs/>
          <w:sz w:val="28"/>
          <w:szCs w:val="28"/>
        </w:rPr>
        <w:t>全市渝河、葫芦河、清水河、茹河、浦河、洪河、泾河7条主要河流，共布设16个监测断面。其中国控出境断面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个：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分别为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泾河弹筝峡断面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葫芦河玉桥断面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渝河联财断面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茹河沟圈断面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清水河二十里铺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和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三营断面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浦河石家河桥断面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和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洪河常沟断面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由国家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生态环境部进行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采样监测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和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数据评价；省控断面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个：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分别为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渝河峰台断面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冬至河入清水河断面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茹河乃河水库断面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和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泾河龙潭水库断面，由区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生态环境厅进行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采样监测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和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数据评价；市控断面4个：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分别为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渝河三里店水库断面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清水河沈家河水库断面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茹河李河桥断面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和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葫芦河夏寨水库断面，由市监测站监测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进行采样监测和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数据评价。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月份国控断面达标率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%；省控断面水质达标率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%；市控断面达标率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50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%，清水河沈家河水库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和葫芦河夏寨水库为劣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Ⅴ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重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度污染水质，未达标。</w:t>
      </w:r>
    </w:p>
    <w:p>
      <w:pPr>
        <w:adjustRightInd w:val="0"/>
        <w:snapToGrid w:val="0"/>
        <w:spacing w:before="120" w:beforeLines="50" w:after="120" w:afterLines="50" w:line="360" w:lineRule="auto"/>
        <w:ind w:firstLine="562" w:firstLineChars="200"/>
        <w:rPr>
          <w:rFonts w:asciiTheme="minorEastAsia" w:hAnsiTheme="minorEastAsia" w:eastAsiaTheme="minorEastAsia"/>
          <w:b/>
          <w:bCs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napToGrid w:val="0"/>
          <w:kern w:val="0"/>
          <w:sz w:val="28"/>
          <w:szCs w:val="28"/>
        </w:rPr>
        <w:t>1、渝河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峰台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Ⅱ类良好水质，去年同期Ⅰ类良好水质，同比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水质有所下降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；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三里店水库：Ⅲ类良好水质，去年同期Ⅲ类良好水质，同比持平；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联财：Ⅱ类良好水质，去年同期Ⅱ类良好水质，同比持平。</w:t>
      </w:r>
    </w:p>
    <w:p>
      <w:pPr>
        <w:adjustRightInd w:val="0"/>
        <w:snapToGrid w:val="0"/>
        <w:spacing w:before="120" w:beforeLines="50" w:after="120" w:afterLines="50" w:line="36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2、葫芦河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夏寨水库：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劣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Ⅴ类重度污染水质，去年同期Ⅴ类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中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度污染水质，同比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好转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；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玉桥：Ⅳ类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轻度污染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水质，去年同期Ⅲ类良好水质，同比水质有所下降。</w:t>
      </w:r>
    </w:p>
    <w:p>
      <w:pPr>
        <w:adjustRightInd w:val="0"/>
        <w:snapToGrid w:val="0"/>
        <w:spacing w:before="120" w:beforeLines="50" w:after="120" w:afterLines="50" w:line="360" w:lineRule="auto"/>
        <w:ind w:firstLine="562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3、清水河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二十里铺：Ⅱ类良好水质，去年同期Ⅱ类良好水质，同比水质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持平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；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沈家河水库：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劣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Ⅴ类重度污染水质，去年同期Ⅴ类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中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度污染水质，同比水质有所下降；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冬至河入清水河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Ⅳ类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轻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度污染水质，去年同期Ⅳ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类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水质，同比水质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持平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；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三营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Ⅱ类良好水质，考核目标为地表水Ⅳ类标准，达到考核目标要求；去年同期Ⅳ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类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水质，同比水质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变差。</w:t>
      </w:r>
    </w:p>
    <w:p>
      <w:pPr>
        <w:adjustRightInd w:val="0"/>
        <w:snapToGrid w:val="0"/>
        <w:spacing w:before="120" w:beforeLines="50" w:after="120" w:afterLines="50" w:line="360" w:lineRule="auto"/>
        <w:ind w:firstLine="562" w:firstLineChars="20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4、茹河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乃河水库断面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Ⅱ类良好水质，去年同期Ⅲ类良好水质，同比水质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变差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；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asciiTheme="minorEastAsia" w:hAnsiTheme="minorEastAsia" w:eastAsiaTheme="minorEastAsia"/>
          <w:bCs/>
          <w:sz w:val="28"/>
          <w:szCs w:val="28"/>
        </w:rPr>
        <w:t>李河桥断面，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Ⅱ类良好水质，去年同期Ⅱ类良好水质，同比水质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持平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；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沟圈：Ⅱ类良好水质，去年同期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未进行采样。</w:t>
      </w:r>
    </w:p>
    <w:p>
      <w:pPr>
        <w:adjustRightInd w:val="0"/>
        <w:snapToGrid w:val="0"/>
        <w:spacing w:before="120" w:beforeLines="50" w:after="120" w:afterLines="50" w:line="360" w:lineRule="auto"/>
        <w:ind w:firstLine="562" w:firstLineChars="20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5、蒲河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石家河桥：Ⅱ类良好水质，去年同期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未进行采样。</w:t>
      </w:r>
    </w:p>
    <w:p>
      <w:pPr>
        <w:adjustRightInd w:val="0"/>
        <w:snapToGrid w:val="0"/>
        <w:spacing w:before="120" w:beforeLines="50" w:after="120" w:afterLines="50" w:line="360" w:lineRule="auto"/>
        <w:ind w:firstLine="562" w:firstLineChars="20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6、洪河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常沟断面：Ⅳ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类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水质，去年同期Ⅱ类良好水质，同比水质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变差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。</w:t>
      </w:r>
    </w:p>
    <w:p>
      <w:pPr>
        <w:adjustRightInd w:val="0"/>
        <w:snapToGrid w:val="0"/>
        <w:spacing w:before="120" w:beforeLines="50" w:after="120" w:afterLines="50" w:line="360" w:lineRule="auto"/>
        <w:ind w:firstLine="530" w:firstLineChars="200"/>
        <w:rPr>
          <w:rFonts w:asciiTheme="minorEastAsia" w:hAnsiTheme="minorEastAsia" w:eastAsiaTheme="minorEastAsia"/>
          <w:b/>
          <w:bCs/>
          <w:snapToGrid w:val="0"/>
          <w:spacing w:val="-8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napToGrid w:val="0"/>
          <w:spacing w:val="-8"/>
          <w:kern w:val="0"/>
          <w:sz w:val="28"/>
          <w:szCs w:val="28"/>
        </w:rPr>
        <w:t>7、泾河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龙潭水库：Ⅱ类良好水质，去年同期Ⅱ类良好水质，同比水质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持平；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弹筝峡：Ⅱ类良好水质，考核目标为地表水Ⅱ类标准，达到考核目标要求，去年同期Ⅱ类良好水质，同比水质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持平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。</w:t>
      </w:r>
      <w:r>
        <w:rPr>
          <w:rFonts w:asciiTheme="minorEastAsia" w:hAnsiTheme="minorEastAsia" w:eastAsiaTheme="minorEastAsia"/>
          <w:bCs/>
          <w:sz w:val="28"/>
          <w:szCs w:val="28"/>
        </w:rPr>
        <w:t xml:space="preserve">  </w:t>
      </w:r>
    </w:p>
    <w:bookmarkEnd w:id="43"/>
    <w:bookmarkEnd w:id="44"/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各断面主要水类统计见表1-1。各断面主要监测数据统计见表1-2。</w:t>
      </w:r>
    </w:p>
    <w:bookmarkEnd w:id="36"/>
    <w:bookmarkEnd w:id="37"/>
    <w:bookmarkEnd w:id="38"/>
    <w:bookmarkEnd w:id="39"/>
    <w:bookmarkEnd w:id="40"/>
    <w:bookmarkEnd w:id="41"/>
    <w:bookmarkEnd w:id="42"/>
    <w:p>
      <w:pPr>
        <w:spacing w:before="120" w:beforeLines="50" w:after="120" w:afterLines="50" w:line="600" w:lineRule="exact"/>
        <w:jc w:val="center"/>
        <w:rPr>
          <w:rFonts w:asciiTheme="minorEastAsia" w:hAnsiTheme="minorEastAsia" w:eastAsiaTheme="minorEastAsia"/>
          <w:b/>
          <w:bCs/>
          <w:spacing w:val="6"/>
          <w:sz w:val="24"/>
        </w:rPr>
      </w:pPr>
      <w:bookmarkStart w:id="45" w:name="_Toc456256220"/>
      <w:r>
        <w:rPr>
          <w:rFonts w:hint="eastAsia" w:asciiTheme="minorEastAsia" w:hAnsiTheme="minorEastAsia" w:eastAsiaTheme="minorEastAsia"/>
          <w:b/>
          <w:bCs/>
          <w:spacing w:val="6"/>
          <w:sz w:val="24"/>
        </w:rPr>
        <w:t>表</w:t>
      </w:r>
      <w:r>
        <w:rPr>
          <w:rFonts w:asciiTheme="minorEastAsia" w:hAnsiTheme="minorEastAsia" w:eastAsiaTheme="minorEastAsia"/>
          <w:b/>
          <w:bCs/>
          <w:spacing w:val="6"/>
          <w:sz w:val="24"/>
        </w:rPr>
        <w:t>1-</w:t>
      </w:r>
      <w:r>
        <w:rPr>
          <w:rFonts w:hint="eastAsia" w:asciiTheme="minorEastAsia" w:hAnsiTheme="minorEastAsia" w:eastAsiaTheme="minorEastAsia"/>
          <w:b/>
          <w:bCs/>
          <w:spacing w:val="6"/>
          <w:sz w:val="24"/>
        </w:rPr>
        <w:t xml:space="preserve">1     </w:t>
      </w:r>
      <w:r>
        <w:rPr>
          <w:rFonts w:hint="eastAsia" w:asciiTheme="minorEastAsia" w:hAnsiTheme="minorEastAsia" w:eastAsiaTheme="minorEastAsia"/>
          <w:b/>
          <w:bCs/>
          <w:spacing w:val="6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bCs/>
          <w:spacing w:val="6"/>
          <w:sz w:val="24"/>
        </w:rPr>
        <w:t>月份监测断面水类统计表</w:t>
      </w:r>
    </w:p>
    <w:tbl>
      <w:tblPr>
        <w:tblStyle w:val="30"/>
        <w:tblW w:w="86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356"/>
        <w:gridCol w:w="752"/>
        <w:gridCol w:w="1724"/>
        <w:gridCol w:w="695"/>
        <w:gridCol w:w="695"/>
        <w:gridCol w:w="724"/>
        <w:gridCol w:w="7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7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Cs w:val="21"/>
              </w:rPr>
              <w:t>河流</w:t>
            </w:r>
          </w:p>
        </w:tc>
        <w:tc>
          <w:tcPr>
            <w:tcW w:w="135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Cs w:val="21"/>
              </w:rPr>
              <w:t>断面名称</w:t>
            </w:r>
          </w:p>
        </w:tc>
        <w:tc>
          <w:tcPr>
            <w:tcW w:w="75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Cs w:val="21"/>
              </w:rPr>
              <w:t>断面属性</w:t>
            </w:r>
          </w:p>
        </w:tc>
        <w:tc>
          <w:tcPr>
            <w:tcW w:w="172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Cs w:val="21"/>
              </w:rPr>
              <w:t>断面功能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Cs w:val="21"/>
              </w:rPr>
              <w:t>考核目标</w:t>
            </w: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Cs w:val="21"/>
              </w:rPr>
              <w:t>水质类别</w:t>
            </w:r>
          </w:p>
        </w:tc>
        <w:tc>
          <w:tcPr>
            <w:tcW w:w="752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b/>
                <w:bCs/>
                <w:kern w:val="0"/>
                <w:szCs w:val="21"/>
              </w:rPr>
              <w:t>同比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9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</w:p>
        </w:tc>
        <w:tc>
          <w:tcPr>
            <w:tcW w:w="135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bCs/>
                <w:szCs w:val="21"/>
              </w:rPr>
              <w:t>201</w:t>
            </w:r>
            <w:r>
              <w:rPr>
                <w:rFonts w:hint="eastAsia"/>
                <w:b/>
                <w:bCs/>
                <w:szCs w:val="21"/>
              </w:rPr>
              <w:t>9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bCs/>
                <w:szCs w:val="21"/>
              </w:rPr>
              <w:t>20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7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97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渝河（黄河三级支流，渭河二级支流，葫芦河一级支流）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峰台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省控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源头水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Ⅰ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Ⅱ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好转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97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三里店水库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市控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控制断面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Ⅳ类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Ⅲ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Ⅲ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持平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7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联财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国控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宁夏</w:t>
            </w:r>
            <w:r>
              <w:rPr>
                <w:rFonts w:eastAsia="方正宋三简体"/>
                <w:kern w:val="0"/>
                <w:szCs w:val="21"/>
              </w:rPr>
              <w:t>—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甘肃省界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Ⅳ类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Ⅱ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Ⅱ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持平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7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葫芦河（黄河二级支流，渭河一级支流）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夏寨水库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市控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控制断面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Ⅳ类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Ⅴ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劣</w:t>
            </w:r>
            <w:r>
              <w:rPr>
                <w:rFonts w:hint="eastAsia"/>
                <w:szCs w:val="21"/>
              </w:rPr>
              <w:t>Ⅴ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变差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7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玉桥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国控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宁夏</w:t>
            </w:r>
            <w:r>
              <w:rPr>
                <w:rFonts w:eastAsia="方正宋三简体"/>
                <w:kern w:val="0"/>
                <w:szCs w:val="21"/>
              </w:rPr>
              <w:t>—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甘肃省界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Ⅳ类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Ⅲ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Ⅳ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变差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7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清水河（黄河一级支流）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二十里铺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省控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源头水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Ⅱ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Ⅱ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持平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沈家河水库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市控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控制断面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Ⅳ类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Ⅴ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劣</w:t>
            </w:r>
            <w:r>
              <w:rPr>
                <w:rFonts w:hint="eastAsia"/>
                <w:szCs w:val="21"/>
              </w:rPr>
              <w:t>Ⅴ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变差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7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冬至河入清水河断面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省控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控制断面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Ⅳ类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Ⅳ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Ⅳ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持平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97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三营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国控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固原</w:t>
            </w:r>
            <w:r>
              <w:rPr>
                <w:rFonts w:eastAsia="方正宋三简体"/>
                <w:kern w:val="0"/>
                <w:szCs w:val="21"/>
              </w:rPr>
              <w:t>—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中卫市界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Ⅳ类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Ⅳ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Ⅱ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好转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7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茹河（黄河四级支流，渭河三级支流，泾河二级支流，蒲河一级支流）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乃家河水库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省控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源头水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Ⅲ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Ⅱ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好转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7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李河桥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市控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控制断面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Ⅳ类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Ⅱ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Ⅱ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持平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97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沟圈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国控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宁夏</w:t>
            </w:r>
            <w:r>
              <w:rPr>
                <w:rFonts w:eastAsia="方正宋三简体"/>
                <w:kern w:val="0"/>
                <w:szCs w:val="21"/>
              </w:rPr>
              <w:t>—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甘肃省界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Ⅳ类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Ⅱ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9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蒲河（黄河三级支流，渭河二级支流，泾河一级支流）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石家河桥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省控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宁夏</w:t>
            </w:r>
            <w:r>
              <w:rPr>
                <w:rFonts w:eastAsia="方正宋三简体"/>
                <w:kern w:val="0"/>
                <w:szCs w:val="21"/>
              </w:rPr>
              <w:t>—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甘肃省界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Ⅳ类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Ⅱ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洪河（泾河一级支流）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常沟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省控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宁夏</w:t>
            </w:r>
            <w:r>
              <w:rPr>
                <w:rFonts w:eastAsia="方正宋三简体"/>
                <w:kern w:val="0"/>
                <w:szCs w:val="21"/>
              </w:rPr>
              <w:t>—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甘肃省界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Ⅳ类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Ⅱ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Ⅳ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Cs w:val="21"/>
                <w:lang w:eastAsia="zh-CN"/>
              </w:rPr>
              <w:t>变差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7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泾河（黄河二级支流，渭河一级支流）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龙潭水库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省控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源头水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Ⅱ类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Ⅱ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Ⅱ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Cs w:val="21"/>
                <w:lang w:eastAsia="zh-CN"/>
              </w:rPr>
              <w:t>持平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7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弹筝峡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国控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宁夏</w:t>
            </w:r>
            <w:r>
              <w:rPr>
                <w:rFonts w:eastAsia="方正宋三简体"/>
                <w:kern w:val="0"/>
                <w:szCs w:val="21"/>
              </w:rPr>
              <w:t>—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甘肃省界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Ⅱ类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Ⅱ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Ⅱ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持平</w:t>
            </w:r>
          </w:p>
        </w:tc>
      </w:tr>
      <w:bookmarkEnd w:id="17"/>
      <w:bookmarkEnd w:id="18"/>
      <w:bookmarkEnd w:id="19"/>
      <w:bookmarkEnd w:id="20"/>
      <w:bookmarkEnd w:id="21"/>
      <w:bookmarkEnd w:id="45"/>
    </w:tbl>
    <w:p>
      <w:pPr>
        <w:pStyle w:val="4"/>
        <w:adjustRightInd w:val="0"/>
        <w:snapToGrid w:val="0"/>
        <w:spacing w:before="120" w:beforeLines="50" w:after="120" w:afterLines="50" w:line="36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bookmarkStart w:id="46" w:name="_Toc12965"/>
      <w:bookmarkStart w:id="47" w:name="_Toc413247355"/>
      <w:bookmarkStart w:id="48" w:name="_Toc426561812"/>
      <w:bookmarkStart w:id="49" w:name="_Toc487015703"/>
      <w:bookmarkStart w:id="50" w:name="_Toc489430626"/>
      <w:bookmarkStart w:id="51" w:name="_Toc14350"/>
      <w:bookmarkStart w:id="52" w:name="_Toc27401"/>
      <w:bookmarkStart w:id="53" w:name="_Toc456600469"/>
      <w:bookmarkStart w:id="54" w:name="_Toc31673"/>
      <w:bookmarkStart w:id="55" w:name="_Toc2735"/>
      <w:bookmarkStart w:id="56" w:name="_Toc10466"/>
      <w:bookmarkStart w:id="57" w:name="_Toc371690628"/>
      <w:bookmarkStart w:id="58" w:name="_Toc437337402"/>
      <w:bookmarkStart w:id="59" w:name="_Toc394762276"/>
      <w:bookmarkStart w:id="60" w:name="_Toc442177211"/>
      <w:bookmarkStart w:id="61" w:name="_Toc346529876"/>
      <w:bookmarkStart w:id="62" w:name="_Toc443410867"/>
      <w:bookmarkStart w:id="63" w:name="_Toc381777738"/>
      <w:bookmarkStart w:id="64" w:name="_Toc456256223"/>
      <w:bookmarkStart w:id="65" w:name="_Toc382233178"/>
      <w:bookmarkStart w:id="66" w:name="_Toc350753752"/>
      <w:bookmarkStart w:id="67" w:name="_Toc456600356"/>
      <w:bookmarkStart w:id="68" w:name="_Toc11756"/>
      <w:bookmarkStart w:id="69" w:name="_Toc23622"/>
      <w:bookmarkStart w:id="70" w:name="_Toc5292"/>
      <w:bookmarkStart w:id="71" w:name="_Toc489430628"/>
      <w:bookmarkStart w:id="72" w:name="_Toc6487"/>
      <w:bookmarkStart w:id="73" w:name="_Toc229"/>
      <w:bookmarkStart w:id="74" w:name="_Toc10903"/>
      <w:bookmarkStart w:id="75" w:name="_Toc353351802"/>
      <w:bookmarkStart w:id="76" w:name="_Toc294173881"/>
      <w:bookmarkStart w:id="77" w:name="_Toc291080464"/>
      <w:bookmarkStart w:id="78" w:name="_Toc291591412"/>
      <w:bookmarkStart w:id="79" w:name="_Toc453595013"/>
      <w:bookmarkStart w:id="80" w:name="_Toc393041862"/>
      <w:bookmarkStart w:id="81" w:name="_Toc371690638"/>
      <w:bookmarkStart w:id="82" w:name="_Toc320892771"/>
      <w:bookmarkStart w:id="83" w:name="_Toc442177202"/>
      <w:bookmarkStart w:id="84" w:name="_Toc325698315"/>
      <w:bookmarkStart w:id="85" w:name="_Toc322438678"/>
      <w:r>
        <w:rPr>
          <w:rFonts w:hint="eastAsia" w:asciiTheme="minorEastAsia" w:hAnsiTheme="minorEastAsia" w:eastAsiaTheme="minorEastAsia"/>
          <w:sz w:val="28"/>
          <w:szCs w:val="28"/>
        </w:rPr>
        <w:t>（二）饮用水水源地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1、地表水型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监测的8个集中式饮用水源中，有贺家湾水库、</w:t>
      </w:r>
      <w:r>
        <w:rPr>
          <w:rFonts w:asciiTheme="minorEastAsia" w:hAnsiTheme="minorEastAsia" w:eastAsiaTheme="minorEastAsia"/>
          <w:bCs/>
          <w:sz w:val="28"/>
          <w:szCs w:val="28"/>
        </w:rPr>
        <w:t>西峡水库、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直峡水库</w:t>
      </w:r>
      <w:r>
        <w:rPr>
          <w:rFonts w:asciiTheme="minorEastAsia" w:hAnsiTheme="minorEastAsia" w:eastAsiaTheme="minorEastAsia"/>
          <w:bCs/>
          <w:sz w:val="28"/>
          <w:szCs w:val="28"/>
        </w:rPr>
        <w:t xml:space="preserve"> 、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黄家峡、清凉水库、中庄水库、张士水库7个饮用水源地达标，达标率87.5%。不达标水源地有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海子峡水库，</w:t>
      </w:r>
      <w:r>
        <w:rPr>
          <w:rFonts w:hint="eastAsia" w:asciiTheme="minorEastAsia" w:hAnsiTheme="minorEastAsia" w:eastAsiaTheme="minorEastAsia"/>
          <w:sz w:val="28"/>
          <w:szCs w:val="28"/>
        </w:rPr>
        <w:t>硫酸盐</w:t>
      </w:r>
      <w:r>
        <w:rPr>
          <w:rFonts w:cs="Calibri" w:asciiTheme="minorEastAsia" w:hAnsiTheme="minorEastAsia" w:eastAsiaTheme="minorEastAsia"/>
          <w:sz w:val="28"/>
          <w:szCs w:val="28"/>
        </w:rPr>
        <w:t>3</w:t>
      </w:r>
      <w:r>
        <w:rPr>
          <w:rFonts w:hint="eastAsia" w:cs="Calibri" w:asciiTheme="minorEastAsia" w:hAnsiTheme="minorEastAsia" w:eastAsiaTheme="minorEastAsia"/>
          <w:sz w:val="28"/>
          <w:szCs w:val="28"/>
          <w:lang w:val="en-US" w:eastAsia="zh-CN"/>
        </w:rPr>
        <w:t>65</w:t>
      </w:r>
      <w:r>
        <w:rPr>
          <w:rFonts w:cs="Calibri" w:asciiTheme="minorEastAsia" w:hAnsiTheme="minorEastAsia" w:eastAsiaTheme="minorEastAsia"/>
          <w:sz w:val="28"/>
          <w:szCs w:val="28"/>
        </w:rPr>
        <w:t xml:space="preserve">mg/L </w:t>
      </w:r>
      <w:r>
        <w:rPr>
          <w:rFonts w:hint="eastAsia" w:asciiTheme="minorEastAsia" w:hAnsiTheme="minorEastAsia" w:eastAsiaTheme="minorEastAsia"/>
          <w:sz w:val="28"/>
          <w:szCs w:val="28"/>
        </w:rPr>
        <w:t>（</w:t>
      </w:r>
      <w:r>
        <w:rPr>
          <w:rFonts w:cs="Calibri" w:asciiTheme="minorEastAsia" w:hAnsiTheme="minorEastAsia" w:eastAsiaTheme="minorEastAsia"/>
          <w:sz w:val="28"/>
          <w:szCs w:val="28"/>
        </w:rPr>
        <w:t>0.</w:t>
      </w:r>
      <w:r>
        <w:rPr>
          <w:rFonts w:hint="eastAsia" w:cs="Calibri" w:asciiTheme="minorEastAsia" w:hAnsiTheme="minorEastAsia" w:eastAsiaTheme="minorEastAsia"/>
          <w:sz w:val="28"/>
          <w:szCs w:val="28"/>
          <w:lang w:val="en-US" w:eastAsia="zh-CN"/>
        </w:rPr>
        <w:t>45</w:t>
      </w:r>
      <w:r>
        <w:rPr>
          <w:rFonts w:hint="eastAsia" w:asciiTheme="minorEastAsia" w:hAnsiTheme="minorEastAsia" w:eastAsiaTheme="minorEastAsia"/>
          <w:sz w:val="28"/>
          <w:szCs w:val="28"/>
        </w:rPr>
        <w:t>倍）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监测值超过《地表水环境质量标准》</w:t>
      </w:r>
      <w:r>
        <w:rPr>
          <w:rFonts w:cs="宋体" w:asciiTheme="minorEastAsia" w:hAnsiTheme="minorEastAsia" w:eastAsiaTheme="minorEastAsia"/>
          <w:sz w:val="28"/>
          <w:szCs w:val="28"/>
        </w:rPr>
        <w:t>GB3838-2002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表2中水质标准限值倍数。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2、地下水型水源地</w:t>
      </w:r>
    </w:p>
    <w:p>
      <w:pPr>
        <w:spacing w:line="360" w:lineRule="auto"/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两个地下型水源地，只对彭阳县城水源地进出了采样监测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，</w:t>
      </w:r>
      <w:r>
        <w:rPr>
          <w:rFonts w:cs="宋体" w:asciiTheme="minorEastAsia" w:hAnsiTheme="minorEastAsia" w:eastAsiaTheme="minorEastAsia"/>
          <w:sz w:val="28"/>
          <w:szCs w:val="28"/>
        </w:rPr>
        <w:t>彭阳县城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水源地各项目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监测值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均符合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《地下水环境质量标准》</w:t>
      </w:r>
      <w:r>
        <w:rPr>
          <w:rFonts w:cs="宋体" w:asciiTheme="minorEastAsia" w:hAnsiTheme="minorEastAsia" w:eastAsiaTheme="minorEastAsia"/>
          <w:sz w:val="28"/>
          <w:szCs w:val="28"/>
        </w:rPr>
        <w:t>GB/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T14848-2017表1中Ⅲ类水质标准限值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要求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。</w:t>
      </w:r>
    </w:p>
    <w:p>
      <w:pPr>
        <w:adjustRightInd w:val="0"/>
        <w:snapToGrid w:val="0"/>
        <w:spacing w:before="120" w:beforeLines="50" w:after="12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根据宁夏区环保厅要求，因地质原因引起的超标，水质不低于现状视为达标，因此，可认为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进行采样监测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9个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地表水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和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地下水水源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地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均达标。</w:t>
      </w:r>
    </w:p>
    <w:p>
      <w:pPr>
        <w:pStyle w:val="3"/>
        <w:adjustRightInd w:val="0"/>
        <w:snapToGrid w:val="0"/>
        <w:spacing w:before="120" w:beforeLines="50" w:afterLines="50"/>
        <w:rPr>
          <w:rStyle w:val="95"/>
          <w:rFonts w:asciiTheme="minorEastAsia" w:hAnsiTheme="minorEastAsia" w:eastAsiaTheme="minorEastAsia"/>
          <w:b/>
          <w:bCs/>
          <w:color w:val="FF0000"/>
          <w:sz w:val="36"/>
          <w:szCs w:val="28"/>
        </w:rPr>
      </w:pPr>
      <w:r>
        <w:rPr>
          <w:rStyle w:val="95"/>
          <w:rFonts w:hint="eastAsia" w:asciiTheme="minorEastAsia" w:hAnsiTheme="minorEastAsia" w:eastAsiaTheme="minorEastAsia"/>
          <w:b/>
          <w:bCs/>
          <w:color w:val="FF0000"/>
          <w:sz w:val="36"/>
          <w:szCs w:val="28"/>
        </w:rPr>
        <w:t>二、环境空气质量</w:t>
      </w:r>
      <w:bookmarkEnd w:id="68"/>
      <w:bookmarkEnd w:id="69"/>
      <w:bookmarkEnd w:id="70"/>
      <w:bookmarkEnd w:id="71"/>
      <w:bookmarkEnd w:id="72"/>
      <w:bookmarkEnd w:id="73"/>
      <w:bookmarkEnd w:id="74"/>
    </w:p>
    <w:p>
      <w:pPr>
        <w:pStyle w:val="4"/>
        <w:adjustRightInd w:val="0"/>
        <w:snapToGrid w:val="0"/>
        <w:spacing w:before="120" w:beforeLines="50" w:after="120" w:afterLines="50" w:line="36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bookmarkStart w:id="86" w:name="_Toc27455"/>
      <w:bookmarkStart w:id="87" w:name="_Toc443558145"/>
      <w:bookmarkStart w:id="88" w:name="_Toc6283"/>
      <w:bookmarkStart w:id="89" w:name="_Toc15307"/>
      <w:bookmarkStart w:id="90" w:name="_Toc443407614"/>
      <w:bookmarkStart w:id="91" w:name="_Toc23295"/>
      <w:bookmarkStart w:id="92" w:name="_Toc443411271"/>
      <w:bookmarkStart w:id="93" w:name="_Toc489430629"/>
      <w:bookmarkStart w:id="94" w:name="_Toc11511"/>
      <w:r>
        <w:rPr>
          <w:rFonts w:hint="eastAsia" w:asciiTheme="minorEastAsia" w:hAnsiTheme="minorEastAsia" w:eastAsiaTheme="minorEastAsia"/>
          <w:sz w:val="28"/>
          <w:szCs w:val="28"/>
        </w:rPr>
        <w:t>（一）市区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>
        <w:rPr>
          <w:rFonts w:hint="eastAsia" w:asciiTheme="minorEastAsia" w:hAnsiTheme="minorEastAsia" w:eastAsiaTheme="minorEastAsia"/>
          <w:sz w:val="28"/>
          <w:szCs w:val="28"/>
        </w:rPr>
        <w:t>（原州区）</w:t>
      </w:r>
    </w:p>
    <w:p>
      <w:pPr>
        <w:pStyle w:val="85"/>
        <w:spacing w:before="120" w:after="120"/>
        <w:ind w:firstLine="544" w:firstLineChars="200"/>
        <w:rPr>
          <w:rFonts w:asciiTheme="minorEastAsia" w:hAnsiTheme="minorEastAsia" w:eastAsiaTheme="minorEastAsia"/>
          <w:spacing w:val="-4"/>
        </w:rPr>
      </w:pP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有效监测天数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val="en-US" w:eastAsia="zh-CN"/>
        </w:rPr>
        <w:t>29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天，其中，一级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二级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eastAsia="zh-CN"/>
        </w:rPr>
        <w:t>优良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天数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val="en-US" w:eastAsia="zh-CN"/>
        </w:rPr>
        <w:t>27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天，良好以上天数占总有效监测天数的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val="en-US" w:eastAsia="zh-CN"/>
        </w:rPr>
        <w:t>93.1</w:t>
      </w:r>
      <w:r>
        <w:rPr>
          <w:rFonts w:cs="Times New Roman" w:asciiTheme="minorEastAsia" w:hAnsiTheme="minorEastAsia" w:eastAsiaTheme="minorEastAsia"/>
          <w:color w:val="auto"/>
          <w:spacing w:val="-4"/>
          <w:kern w:val="0"/>
        </w:rPr>
        <w:t>%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；</w:t>
      </w:r>
      <w:r>
        <w:rPr>
          <w:rFonts w:asciiTheme="minorEastAsia" w:hAnsiTheme="minorEastAsia" w:eastAsiaTheme="minorEastAsia"/>
          <w:bCs w:val="0"/>
          <w:spacing w:val="2"/>
        </w:rPr>
        <w:t>PM</w:t>
      </w:r>
      <w:r>
        <w:rPr>
          <w:rFonts w:asciiTheme="minorEastAsia" w:hAnsiTheme="minorEastAsia" w:eastAsiaTheme="minorEastAsia"/>
          <w:bCs w:val="0"/>
          <w:spacing w:val="2"/>
          <w:vertAlign w:val="subscript"/>
        </w:rPr>
        <w:t>10</w:t>
      </w:r>
      <w:r>
        <w:rPr>
          <w:rFonts w:hint="eastAsia" w:asciiTheme="minorEastAsia" w:hAnsiTheme="minorEastAsia" w:eastAsiaTheme="minorEastAsia"/>
          <w:spacing w:val="-4"/>
        </w:rPr>
        <w:t>为</w:t>
      </w:r>
      <w:r>
        <w:rPr>
          <w:rFonts w:hint="eastAsia" w:asciiTheme="minorEastAsia" w:hAnsiTheme="minorEastAsia" w:eastAsiaTheme="minorEastAsia"/>
          <w:spacing w:val="2"/>
          <w:lang w:val="en-US" w:eastAsia="zh-CN"/>
        </w:rPr>
        <w:t>63</w:t>
      </w:r>
      <w:r>
        <w:rPr>
          <w:rFonts w:hint="eastAsia" w:asciiTheme="minorEastAsia" w:hAnsiTheme="minorEastAsia" w:eastAsiaTheme="minorEastAsia"/>
          <w:spacing w:val="2"/>
        </w:rPr>
        <w:t>微克</w:t>
      </w:r>
      <w:r>
        <w:rPr>
          <w:rFonts w:asciiTheme="minorEastAsia" w:hAnsiTheme="minorEastAsia" w:eastAsiaTheme="minorEastAsia"/>
          <w:spacing w:val="2"/>
        </w:rPr>
        <w:t>/</w:t>
      </w:r>
      <w:r>
        <w:rPr>
          <w:rFonts w:hint="eastAsia" w:asciiTheme="minorEastAsia" w:hAnsiTheme="minorEastAsia" w:eastAsiaTheme="minorEastAsia"/>
          <w:spacing w:val="2"/>
        </w:rPr>
        <w:t>立方米，</w:t>
      </w:r>
      <w:r>
        <w:rPr>
          <w:rFonts w:asciiTheme="minorEastAsia" w:hAnsiTheme="minorEastAsia" w:eastAsiaTheme="minorEastAsia"/>
          <w:spacing w:val="-4"/>
        </w:rPr>
        <w:t>PM</w:t>
      </w:r>
      <w:r>
        <w:rPr>
          <w:rFonts w:asciiTheme="minorEastAsia" w:hAnsiTheme="minorEastAsia" w:eastAsiaTheme="minorEastAsia"/>
          <w:spacing w:val="-4"/>
          <w:vertAlign w:val="subscript"/>
        </w:rPr>
        <w:t>2.5</w:t>
      </w:r>
      <w:r>
        <w:rPr>
          <w:rFonts w:hint="eastAsia" w:asciiTheme="minorEastAsia" w:hAnsiTheme="minorEastAsia" w:eastAsiaTheme="minorEastAsia"/>
          <w:spacing w:val="-4"/>
        </w:rPr>
        <w:t>为</w:t>
      </w:r>
      <w:r>
        <w:rPr>
          <w:rFonts w:hint="eastAsia" w:asciiTheme="minorEastAsia" w:hAnsiTheme="minorEastAsia" w:eastAsiaTheme="minorEastAsia"/>
          <w:spacing w:val="2"/>
          <w:lang w:val="en-US" w:eastAsia="zh-CN"/>
        </w:rPr>
        <w:t>29</w:t>
      </w:r>
      <w:r>
        <w:rPr>
          <w:rFonts w:hint="eastAsia" w:asciiTheme="minorEastAsia" w:hAnsiTheme="minorEastAsia" w:eastAsiaTheme="minorEastAsia"/>
          <w:spacing w:val="2"/>
        </w:rPr>
        <w:t>微克</w:t>
      </w:r>
      <w:r>
        <w:rPr>
          <w:rFonts w:asciiTheme="minorEastAsia" w:hAnsiTheme="minorEastAsia" w:eastAsiaTheme="minorEastAsia"/>
          <w:spacing w:val="2"/>
        </w:rPr>
        <w:t>/</w:t>
      </w:r>
      <w:r>
        <w:rPr>
          <w:rFonts w:hint="eastAsia" w:asciiTheme="minorEastAsia" w:hAnsiTheme="minorEastAsia" w:eastAsiaTheme="minorEastAsia"/>
          <w:spacing w:val="2"/>
        </w:rPr>
        <w:t>立方米，</w:t>
      </w:r>
      <w:r>
        <w:rPr>
          <w:rFonts w:asciiTheme="minorEastAsia" w:hAnsiTheme="minorEastAsia" w:eastAsiaTheme="minorEastAsia"/>
          <w:kern w:val="0"/>
        </w:rPr>
        <w:t>SO</w:t>
      </w:r>
      <w:r>
        <w:rPr>
          <w:rFonts w:asciiTheme="minorEastAsia" w:hAnsiTheme="minorEastAsia" w:eastAsiaTheme="minorEastAsia"/>
          <w:kern w:val="0"/>
          <w:vertAlign w:val="subscript"/>
        </w:rPr>
        <w:t>2</w:t>
      </w:r>
      <w:r>
        <w:rPr>
          <w:rFonts w:hint="eastAsia" w:asciiTheme="minorEastAsia" w:hAnsiTheme="minorEastAsia" w:eastAsiaTheme="minorEastAsia"/>
          <w:spacing w:val="-4"/>
        </w:rPr>
        <w:t>为1</w:t>
      </w:r>
      <w:r>
        <w:rPr>
          <w:rFonts w:hint="eastAsia" w:asciiTheme="minorEastAsia" w:hAnsiTheme="minorEastAsia" w:eastAsiaTheme="minorEastAsia"/>
          <w:spacing w:val="-4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pacing w:val="2"/>
        </w:rPr>
        <w:t>微克</w:t>
      </w:r>
      <w:r>
        <w:rPr>
          <w:rFonts w:asciiTheme="minorEastAsia" w:hAnsiTheme="minorEastAsia" w:eastAsiaTheme="minorEastAsia"/>
          <w:spacing w:val="2"/>
        </w:rPr>
        <w:t>/</w:t>
      </w:r>
      <w:r>
        <w:rPr>
          <w:rFonts w:hint="eastAsia" w:asciiTheme="minorEastAsia" w:hAnsiTheme="minorEastAsia" w:eastAsiaTheme="minorEastAsia"/>
          <w:spacing w:val="2"/>
        </w:rPr>
        <w:t>立方米，</w:t>
      </w:r>
      <w:r>
        <w:rPr>
          <w:rFonts w:asciiTheme="minorEastAsia" w:hAnsiTheme="minorEastAsia" w:eastAsiaTheme="minorEastAsia"/>
          <w:kern w:val="0"/>
        </w:rPr>
        <w:t>NO</w:t>
      </w:r>
      <w:r>
        <w:rPr>
          <w:rFonts w:asciiTheme="minorEastAsia" w:hAnsiTheme="minorEastAsia" w:eastAsiaTheme="minorEastAsia"/>
          <w:kern w:val="0"/>
          <w:vertAlign w:val="subscript"/>
        </w:rPr>
        <w:t>2</w:t>
      </w:r>
      <w:r>
        <w:rPr>
          <w:rFonts w:hint="eastAsia" w:asciiTheme="minorEastAsia" w:hAnsiTheme="minorEastAsia" w:eastAsiaTheme="minorEastAsia"/>
          <w:spacing w:val="-4"/>
        </w:rPr>
        <w:t>为</w:t>
      </w:r>
      <w:r>
        <w:rPr>
          <w:rFonts w:hint="eastAsia" w:asciiTheme="minorEastAsia" w:hAnsiTheme="minorEastAsia" w:eastAsiaTheme="minorEastAsia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pacing w:val="-4"/>
        </w:rPr>
        <w:t>微克</w:t>
      </w:r>
      <w:r>
        <w:rPr>
          <w:rFonts w:asciiTheme="minorEastAsia" w:hAnsiTheme="minorEastAsia" w:eastAsiaTheme="minorEastAsia"/>
          <w:spacing w:val="-4"/>
        </w:rPr>
        <w:t>/</w:t>
      </w:r>
      <w:r>
        <w:rPr>
          <w:rFonts w:hint="eastAsia" w:asciiTheme="minorEastAsia" w:hAnsiTheme="minorEastAsia" w:eastAsiaTheme="minorEastAsia"/>
          <w:spacing w:val="-4"/>
        </w:rPr>
        <w:t>立方米，</w:t>
      </w:r>
      <w:r>
        <w:rPr>
          <w:rFonts w:asciiTheme="minorEastAsia" w:hAnsiTheme="minorEastAsia" w:eastAsiaTheme="minorEastAsia"/>
          <w:spacing w:val="2"/>
        </w:rPr>
        <w:t>CO</w:t>
      </w:r>
      <w:r>
        <w:rPr>
          <w:rFonts w:hint="eastAsia" w:asciiTheme="minorEastAsia" w:hAnsiTheme="minorEastAsia" w:eastAsiaTheme="minorEastAsia"/>
          <w:spacing w:val="2"/>
        </w:rPr>
        <w:t>特定百分位数浓度</w:t>
      </w:r>
      <w:r>
        <w:rPr>
          <w:rFonts w:hint="eastAsia" w:asciiTheme="minorEastAsia" w:hAnsiTheme="minorEastAsia" w:eastAsiaTheme="minorEastAsia"/>
          <w:spacing w:val="-4"/>
        </w:rPr>
        <w:t>为</w:t>
      </w:r>
      <w:r>
        <w:rPr>
          <w:rFonts w:hint="eastAsia" w:asciiTheme="minorEastAsia" w:hAnsiTheme="minorEastAsia" w:eastAsiaTheme="minorEastAsia"/>
        </w:rPr>
        <w:t>1.</w:t>
      </w:r>
      <w:r>
        <w:rPr>
          <w:rFonts w:hint="eastAsia" w:asciiTheme="minorEastAsia" w:hAnsiTheme="minorEastAsia" w:eastAsia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pacing w:val="-4"/>
        </w:rPr>
        <w:t>毫克</w:t>
      </w:r>
      <w:r>
        <w:rPr>
          <w:rFonts w:asciiTheme="minorEastAsia" w:hAnsiTheme="minorEastAsia" w:eastAsiaTheme="minorEastAsia"/>
          <w:spacing w:val="-4"/>
        </w:rPr>
        <w:t>/</w:t>
      </w:r>
      <w:r>
        <w:rPr>
          <w:rFonts w:hint="eastAsia" w:asciiTheme="minorEastAsia" w:hAnsiTheme="minorEastAsia" w:eastAsiaTheme="minorEastAsia"/>
          <w:spacing w:val="-4"/>
        </w:rPr>
        <w:t>立方米，</w:t>
      </w:r>
      <w:r>
        <w:rPr>
          <w:rFonts w:asciiTheme="minorEastAsia" w:hAnsiTheme="minorEastAsia" w:eastAsiaTheme="minorEastAsia"/>
          <w:spacing w:val="2"/>
        </w:rPr>
        <w:t>O</w:t>
      </w:r>
      <w:r>
        <w:rPr>
          <w:rFonts w:asciiTheme="minorEastAsia" w:hAnsiTheme="minorEastAsia" w:eastAsiaTheme="minorEastAsia"/>
          <w:spacing w:val="2"/>
          <w:vertAlign w:val="subscript"/>
        </w:rPr>
        <w:t>3</w:t>
      </w:r>
      <w:r>
        <w:rPr>
          <w:rFonts w:hint="eastAsia" w:asciiTheme="minorEastAsia" w:hAnsiTheme="minorEastAsia" w:eastAsiaTheme="minorEastAsia"/>
          <w:spacing w:val="2"/>
        </w:rPr>
        <w:t>特定百分位数浓度</w:t>
      </w:r>
      <w:r>
        <w:rPr>
          <w:rFonts w:hint="eastAsia" w:asciiTheme="minorEastAsia" w:hAnsiTheme="minorEastAsia" w:eastAsiaTheme="minorEastAsia"/>
          <w:spacing w:val="-4"/>
        </w:rPr>
        <w:t>为</w:t>
      </w:r>
      <w:r>
        <w:rPr>
          <w:rFonts w:hint="eastAsia" w:asciiTheme="minorEastAsia" w:hAnsiTheme="minorEastAsia" w:eastAsiaTheme="minorEastAsia"/>
          <w:spacing w:val="-4"/>
          <w:lang w:val="en-US" w:eastAsia="zh-CN"/>
        </w:rPr>
        <w:t>94</w:t>
      </w:r>
      <w:r>
        <w:rPr>
          <w:rFonts w:hint="eastAsia" w:asciiTheme="minorEastAsia" w:hAnsiTheme="minorEastAsia" w:eastAsiaTheme="minorEastAsia"/>
          <w:spacing w:val="-4"/>
        </w:rPr>
        <w:t>微克</w:t>
      </w:r>
      <w:r>
        <w:rPr>
          <w:rFonts w:asciiTheme="minorEastAsia" w:hAnsiTheme="minorEastAsia" w:eastAsiaTheme="minorEastAsia"/>
          <w:spacing w:val="-4"/>
        </w:rPr>
        <w:t>/</w:t>
      </w:r>
      <w:r>
        <w:rPr>
          <w:rFonts w:hint="eastAsia" w:asciiTheme="minorEastAsia" w:hAnsiTheme="minorEastAsia" w:eastAsiaTheme="minorEastAsia"/>
          <w:spacing w:val="-4"/>
        </w:rPr>
        <w:t>立方米。</w:t>
      </w:r>
    </w:p>
    <w:p>
      <w:pPr>
        <w:pStyle w:val="4"/>
        <w:adjustRightInd w:val="0"/>
        <w:snapToGrid w:val="0"/>
        <w:spacing w:before="120" w:beforeLines="50" w:after="120" w:afterLines="50" w:line="36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（二）彭阳县</w:t>
      </w:r>
    </w:p>
    <w:p>
      <w:pPr>
        <w:pStyle w:val="85"/>
        <w:spacing w:before="120" w:after="120"/>
        <w:ind w:firstLine="544" w:firstLineChars="200"/>
        <w:rPr>
          <w:rFonts w:asciiTheme="minorEastAsia" w:hAnsiTheme="minorEastAsia" w:eastAsiaTheme="minorEastAsia"/>
          <w:color w:val="auto"/>
          <w:spacing w:val="2"/>
        </w:rPr>
      </w:pP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有效监测天数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val="en-US" w:eastAsia="zh-CN"/>
        </w:rPr>
        <w:t>29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天，其中，一级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二级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eastAsia="zh-CN"/>
        </w:rPr>
        <w:t>优良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天数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val="en-US" w:eastAsia="zh-CN"/>
        </w:rPr>
        <w:t>27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天，良好以上天数占总有效监测天数的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val="en-US" w:eastAsia="zh-CN"/>
        </w:rPr>
        <w:t>93.1</w:t>
      </w:r>
      <w:r>
        <w:rPr>
          <w:rFonts w:cs="Times New Roman" w:asciiTheme="minorEastAsia" w:hAnsiTheme="minorEastAsia" w:eastAsiaTheme="minorEastAsia"/>
          <w:color w:val="auto"/>
          <w:spacing w:val="-4"/>
          <w:kern w:val="0"/>
        </w:rPr>
        <w:t>%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；</w:t>
      </w:r>
      <w:r>
        <w:rPr>
          <w:rFonts w:asciiTheme="minorEastAsia" w:hAnsiTheme="minorEastAsia" w:eastAsiaTheme="minorEastAsia"/>
          <w:bCs w:val="0"/>
          <w:color w:val="auto"/>
          <w:spacing w:val="2"/>
        </w:rPr>
        <w:t>PM</w:t>
      </w:r>
      <w:r>
        <w:rPr>
          <w:rFonts w:asciiTheme="minorEastAsia" w:hAnsiTheme="minorEastAsia" w:eastAsiaTheme="minorEastAsia"/>
          <w:bCs w:val="0"/>
          <w:color w:val="auto"/>
          <w:spacing w:val="2"/>
          <w:vertAlign w:val="subscript"/>
        </w:rPr>
        <w:t>10</w:t>
      </w:r>
      <w:r>
        <w:rPr>
          <w:rFonts w:hint="eastAsia" w:asciiTheme="minorEastAsia" w:hAnsiTheme="minorEastAsia" w:eastAsiaTheme="minorEastAsia"/>
          <w:color w:val="auto"/>
          <w:spacing w:val="2"/>
        </w:rPr>
        <w:t>为</w:t>
      </w:r>
      <w:r>
        <w:rPr>
          <w:rFonts w:hint="eastAsia" w:asciiTheme="minorEastAsia" w:hAnsiTheme="minorEastAsia" w:eastAsiaTheme="minorEastAsia"/>
          <w:color w:val="auto"/>
          <w:spacing w:val="2"/>
          <w:lang w:val="en-US" w:eastAsia="zh-CN"/>
        </w:rPr>
        <w:t>64</w:t>
      </w:r>
      <w:r>
        <w:rPr>
          <w:rFonts w:hint="eastAsia" w:asciiTheme="minorEastAsia" w:hAnsiTheme="minorEastAsia" w:eastAsiaTheme="minorEastAsia"/>
          <w:color w:val="auto"/>
          <w:spacing w:val="2"/>
        </w:rPr>
        <w:t>微克</w:t>
      </w:r>
      <w:r>
        <w:rPr>
          <w:rFonts w:asciiTheme="minorEastAsia" w:hAnsiTheme="minorEastAsia" w:eastAsiaTheme="minorEastAsia"/>
          <w:color w:val="auto"/>
          <w:spacing w:val="2"/>
        </w:rPr>
        <w:t>/</w:t>
      </w:r>
      <w:r>
        <w:rPr>
          <w:rFonts w:hint="eastAsia" w:asciiTheme="minorEastAsia" w:hAnsiTheme="minorEastAsia" w:eastAsiaTheme="minorEastAsia"/>
          <w:color w:val="auto"/>
          <w:spacing w:val="2"/>
        </w:rPr>
        <w:t>立方米，</w:t>
      </w:r>
      <w:r>
        <w:rPr>
          <w:rFonts w:asciiTheme="minorEastAsia" w:hAnsiTheme="minorEastAsia" w:eastAsiaTheme="minorEastAsia"/>
          <w:color w:val="auto"/>
          <w:spacing w:val="-4"/>
        </w:rPr>
        <w:t>PM</w:t>
      </w:r>
      <w:r>
        <w:rPr>
          <w:rFonts w:asciiTheme="minorEastAsia" w:hAnsiTheme="minorEastAsia" w:eastAsiaTheme="minorEastAsia"/>
          <w:color w:val="auto"/>
          <w:spacing w:val="-4"/>
          <w:vertAlign w:val="subscript"/>
        </w:rPr>
        <w:t>2.5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  <w:spacing w:val="2"/>
          <w:lang w:val="en-US" w:eastAsia="zh-CN"/>
        </w:rPr>
        <w:t>31</w:t>
      </w:r>
      <w:r>
        <w:rPr>
          <w:rFonts w:hint="eastAsia" w:asciiTheme="minorEastAsia" w:hAnsiTheme="minorEastAsia" w:eastAsiaTheme="minorEastAsia"/>
          <w:color w:val="auto"/>
          <w:spacing w:val="2"/>
        </w:rPr>
        <w:t>微克</w:t>
      </w:r>
      <w:r>
        <w:rPr>
          <w:rFonts w:asciiTheme="minorEastAsia" w:hAnsiTheme="minorEastAsia" w:eastAsiaTheme="minorEastAsia"/>
          <w:color w:val="auto"/>
          <w:spacing w:val="2"/>
        </w:rPr>
        <w:t>/</w:t>
      </w:r>
      <w:r>
        <w:rPr>
          <w:rFonts w:hint="eastAsia" w:asciiTheme="minorEastAsia" w:hAnsiTheme="minorEastAsia" w:eastAsiaTheme="minorEastAsia"/>
          <w:color w:val="auto"/>
          <w:spacing w:val="2"/>
        </w:rPr>
        <w:t>立方米，</w:t>
      </w:r>
      <w:r>
        <w:rPr>
          <w:rFonts w:asciiTheme="minorEastAsia" w:hAnsiTheme="minorEastAsia" w:eastAsiaTheme="minorEastAsia"/>
          <w:color w:val="auto"/>
          <w:kern w:val="0"/>
        </w:rPr>
        <w:t>SO</w:t>
      </w:r>
      <w:r>
        <w:rPr>
          <w:rFonts w:asciiTheme="minorEastAsia" w:hAnsiTheme="minorEastAsia" w:eastAsiaTheme="minorEastAsia"/>
          <w:color w:val="auto"/>
          <w:kern w:val="0"/>
          <w:vertAlign w:val="subscript"/>
        </w:rPr>
        <w:t>2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  <w:spacing w:val="-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auto"/>
          <w:spacing w:val="2"/>
        </w:rPr>
        <w:t>微克</w:t>
      </w:r>
      <w:r>
        <w:rPr>
          <w:rFonts w:asciiTheme="minorEastAsia" w:hAnsiTheme="minorEastAsia" w:eastAsiaTheme="minorEastAsia"/>
          <w:color w:val="auto"/>
          <w:spacing w:val="2"/>
        </w:rPr>
        <w:t>/</w:t>
      </w:r>
      <w:r>
        <w:rPr>
          <w:rFonts w:hint="eastAsia" w:asciiTheme="minorEastAsia" w:hAnsiTheme="minorEastAsia" w:eastAsiaTheme="minorEastAsia"/>
          <w:color w:val="auto"/>
          <w:spacing w:val="2"/>
        </w:rPr>
        <w:t>立方米，</w:t>
      </w:r>
      <w:r>
        <w:rPr>
          <w:rFonts w:asciiTheme="minorEastAsia" w:hAnsiTheme="minorEastAsia" w:eastAsiaTheme="minorEastAsia"/>
          <w:color w:val="auto"/>
          <w:kern w:val="0"/>
        </w:rPr>
        <w:t>NO</w:t>
      </w:r>
      <w:r>
        <w:rPr>
          <w:rFonts w:asciiTheme="minorEastAsia" w:hAnsiTheme="minorEastAsia" w:eastAsiaTheme="minorEastAsia"/>
          <w:color w:val="auto"/>
          <w:kern w:val="0"/>
          <w:vertAlign w:val="subscript"/>
        </w:rPr>
        <w:t>2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auto"/>
          <w:spacing w:val="-4"/>
        </w:rPr>
        <w:t>微克</w:t>
      </w:r>
      <w:r>
        <w:rPr>
          <w:rFonts w:asciiTheme="minorEastAsia" w:hAnsiTheme="minorEastAsia" w:eastAsiaTheme="minorEastAsia"/>
          <w:color w:val="auto"/>
          <w:spacing w:val="-4"/>
        </w:rPr>
        <w:t>/</w:t>
      </w:r>
      <w:r>
        <w:rPr>
          <w:rFonts w:hint="eastAsia" w:asciiTheme="minorEastAsia" w:hAnsiTheme="minorEastAsia" w:eastAsiaTheme="minorEastAsia"/>
          <w:color w:val="auto"/>
          <w:spacing w:val="-4"/>
        </w:rPr>
        <w:t>立方米，</w:t>
      </w:r>
      <w:r>
        <w:rPr>
          <w:rFonts w:asciiTheme="minorEastAsia" w:hAnsiTheme="minorEastAsia" w:eastAsiaTheme="minorEastAsia"/>
          <w:color w:val="auto"/>
          <w:spacing w:val="2"/>
        </w:rPr>
        <w:t>CO</w:t>
      </w:r>
      <w:r>
        <w:rPr>
          <w:rFonts w:hint="eastAsia" w:asciiTheme="minorEastAsia" w:hAnsiTheme="minorEastAsia" w:eastAsiaTheme="minorEastAsia"/>
          <w:color w:val="auto"/>
          <w:spacing w:val="2"/>
        </w:rPr>
        <w:t>特定百分位数浓度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1.0</w:t>
      </w:r>
      <w:r>
        <w:rPr>
          <w:rFonts w:hint="eastAsia" w:asciiTheme="minorEastAsia" w:hAnsiTheme="minorEastAsia" w:eastAsiaTheme="minorEastAsia"/>
          <w:color w:val="auto"/>
          <w:spacing w:val="-4"/>
        </w:rPr>
        <w:t>毫克</w:t>
      </w:r>
      <w:r>
        <w:rPr>
          <w:rFonts w:asciiTheme="minorEastAsia" w:hAnsiTheme="minorEastAsia" w:eastAsiaTheme="minorEastAsia"/>
          <w:color w:val="auto"/>
          <w:spacing w:val="-4"/>
        </w:rPr>
        <w:t>/</w:t>
      </w:r>
      <w:r>
        <w:rPr>
          <w:rFonts w:hint="eastAsia" w:asciiTheme="minorEastAsia" w:hAnsiTheme="minorEastAsia" w:eastAsiaTheme="minorEastAsia"/>
          <w:color w:val="auto"/>
          <w:spacing w:val="-4"/>
        </w:rPr>
        <w:t>立方米，</w:t>
      </w:r>
      <w:r>
        <w:rPr>
          <w:rFonts w:asciiTheme="minorEastAsia" w:hAnsiTheme="minorEastAsia" w:eastAsiaTheme="minorEastAsia"/>
          <w:color w:val="auto"/>
          <w:spacing w:val="2"/>
        </w:rPr>
        <w:t>O</w:t>
      </w:r>
      <w:r>
        <w:rPr>
          <w:rFonts w:asciiTheme="minorEastAsia" w:hAnsiTheme="minorEastAsia" w:eastAsiaTheme="minorEastAsia"/>
          <w:color w:val="auto"/>
          <w:spacing w:val="2"/>
          <w:vertAlign w:val="subscript"/>
        </w:rPr>
        <w:t>3</w:t>
      </w:r>
      <w:r>
        <w:rPr>
          <w:rFonts w:hint="eastAsia" w:asciiTheme="minorEastAsia" w:hAnsiTheme="minorEastAsia" w:eastAsiaTheme="minorEastAsia"/>
          <w:color w:val="auto"/>
          <w:spacing w:val="2"/>
        </w:rPr>
        <w:t>特定百分位数浓度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  <w:spacing w:val="-4"/>
          <w:lang w:val="en-US" w:eastAsia="zh-CN"/>
        </w:rPr>
        <w:t>107</w:t>
      </w:r>
      <w:r>
        <w:rPr>
          <w:rFonts w:hint="eastAsia" w:asciiTheme="minorEastAsia" w:hAnsiTheme="minorEastAsia" w:eastAsiaTheme="minorEastAsia"/>
          <w:color w:val="auto"/>
          <w:spacing w:val="-4"/>
        </w:rPr>
        <w:t>微克</w:t>
      </w:r>
      <w:r>
        <w:rPr>
          <w:rFonts w:asciiTheme="minorEastAsia" w:hAnsiTheme="minorEastAsia" w:eastAsiaTheme="minorEastAsia"/>
          <w:color w:val="auto"/>
          <w:spacing w:val="-4"/>
        </w:rPr>
        <w:t>/</w:t>
      </w:r>
      <w:r>
        <w:rPr>
          <w:rFonts w:hint="eastAsia" w:asciiTheme="minorEastAsia" w:hAnsiTheme="minorEastAsia" w:eastAsiaTheme="minorEastAsia"/>
          <w:color w:val="auto"/>
          <w:spacing w:val="-4"/>
        </w:rPr>
        <w:t>立方米</w:t>
      </w:r>
      <w:r>
        <w:rPr>
          <w:rFonts w:hint="eastAsia" w:asciiTheme="minorEastAsia" w:hAnsiTheme="minorEastAsia" w:eastAsiaTheme="minorEastAsia"/>
          <w:color w:val="auto"/>
          <w:spacing w:val="2"/>
        </w:rPr>
        <w:t>。</w:t>
      </w:r>
    </w:p>
    <w:p>
      <w:pPr>
        <w:pStyle w:val="4"/>
        <w:adjustRightInd w:val="0"/>
        <w:snapToGrid w:val="0"/>
        <w:spacing w:before="120" w:beforeLines="50" w:after="120" w:afterLines="50" w:line="36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（三）西吉县</w:t>
      </w:r>
    </w:p>
    <w:p>
      <w:pPr>
        <w:pStyle w:val="85"/>
        <w:spacing w:before="120" w:after="120"/>
        <w:ind w:firstLine="544" w:firstLineChars="200"/>
        <w:rPr>
          <w:rFonts w:asciiTheme="minorEastAsia" w:hAnsiTheme="minorEastAsia" w:eastAsiaTheme="minorEastAsia"/>
          <w:color w:val="auto"/>
          <w:spacing w:val="-4"/>
        </w:rPr>
      </w:pP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有效监测天数2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val="en-US" w:eastAsia="zh-CN"/>
        </w:rPr>
        <w:t>9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天，其中，一级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二级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eastAsia="zh-CN"/>
        </w:rPr>
        <w:t>优良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天数2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val="en-US" w:eastAsia="zh-CN"/>
        </w:rPr>
        <w:t>9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天，良好以上天数占总有效监测天数的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val="en-US" w:eastAsia="zh-CN"/>
        </w:rPr>
        <w:t>100</w:t>
      </w:r>
      <w:r>
        <w:rPr>
          <w:rFonts w:cs="Times New Roman" w:asciiTheme="minorEastAsia" w:hAnsiTheme="minorEastAsia" w:eastAsiaTheme="minorEastAsia"/>
          <w:color w:val="auto"/>
          <w:spacing w:val="-4"/>
          <w:kern w:val="0"/>
        </w:rPr>
        <w:t>%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；</w:t>
      </w:r>
      <w:r>
        <w:rPr>
          <w:rFonts w:asciiTheme="minorEastAsia" w:hAnsiTheme="minorEastAsia" w:eastAsiaTheme="minorEastAsia"/>
          <w:bCs w:val="0"/>
          <w:color w:val="auto"/>
          <w:spacing w:val="2"/>
        </w:rPr>
        <w:t>PM</w:t>
      </w:r>
      <w:r>
        <w:rPr>
          <w:rFonts w:asciiTheme="minorEastAsia" w:hAnsiTheme="minorEastAsia" w:eastAsiaTheme="minorEastAsia"/>
          <w:bCs w:val="0"/>
          <w:color w:val="auto"/>
          <w:spacing w:val="2"/>
          <w:vertAlign w:val="subscript"/>
        </w:rPr>
        <w:t>10</w:t>
      </w:r>
      <w:r>
        <w:rPr>
          <w:rFonts w:hint="eastAsia" w:asciiTheme="minorEastAsia" w:hAnsiTheme="minorEastAsia" w:eastAsiaTheme="minorEastAsia"/>
          <w:color w:val="auto"/>
          <w:spacing w:val="2"/>
        </w:rPr>
        <w:t>为</w:t>
      </w:r>
      <w:r>
        <w:rPr>
          <w:rFonts w:hint="eastAsia" w:asciiTheme="minorEastAsia" w:hAnsiTheme="minorEastAsia" w:eastAsiaTheme="minorEastAsia"/>
          <w:color w:val="auto"/>
          <w:spacing w:val="2"/>
          <w:lang w:val="en-US" w:eastAsia="zh-CN"/>
        </w:rPr>
        <w:t>62</w:t>
      </w:r>
      <w:r>
        <w:rPr>
          <w:rFonts w:hint="eastAsia" w:asciiTheme="minorEastAsia" w:hAnsiTheme="minorEastAsia" w:eastAsiaTheme="minorEastAsia"/>
          <w:color w:val="auto"/>
          <w:spacing w:val="2"/>
        </w:rPr>
        <w:t>微克</w:t>
      </w:r>
      <w:r>
        <w:rPr>
          <w:rFonts w:asciiTheme="minorEastAsia" w:hAnsiTheme="minorEastAsia" w:eastAsiaTheme="minorEastAsia"/>
          <w:color w:val="auto"/>
          <w:spacing w:val="2"/>
        </w:rPr>
        <w:t>/</w:t>
      </w:r>
      <w:r>
        <w:rPr>
          <w:rFonts w:hint="eastAsia" w:asciiTheme="minorEastAsia" w:hAnsiTheme="minorEastAsia" w:eastAsiaTheme="minorEastAsia"/>
          <w:color w:val="auto"/>
          <w:spacing w:val="2"/>
        </w:rPr>
        <w:t>立方米，</w:t>
      </w:r>
      <w:r>
        <w:rPr>
          <w:rFonts w:asciiTheme="minorEastAsia" w:hAnsiTheme="minorEastAsia" w:eastAsiaTheme="minorEastAsia"/>
          <w:color w:val="auto"/>
          <w:spacing w:val="-4"/>
        </w:rPr>
        <w:t>PM</w:t>
      </w:r>
      <w:r>
        <w:rPr>
          <w:rFonts w:asciiTheme="minorEastAsia" w:hAnsiTheme="minorEastAsia" w:eastAsiaTheme="minorEastAsia"/>
          <w:color w:val="auto"/>
          <w:spacing w:val="-4"/>
          <w:vertAlign w:val="subscript"/>
        </w:rPr>
        <w:t>2.5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  <w:spacing w:val="2"/>
          <w:lang w:val="en-US" w:eastAsia="zh-CN"/>
        </w:rPr>
        <w:t>31</w:t>
      </w:r>
      <w:r>
        <w:rPr>
          <w:rFonts w:hint="eastAsia" w:asciiTheme="minorEastAsia" w:hAnsiTheme="minorEastAsia" w:eastAsiaTheme="minorEastAsia"/>
          <w:color w:val="auto"/>
          <w:spacing w:val="2"/>
        </w:rPr>
        <w:t>微克</w:t>
      </w:r>
      <w:r>
        <w:rPr>
          <w:rFonts w:asciiTheme="minorEastAsia" w:hAnsiTheme="minorEastAsia" w:eastAsiaTheme="minorEastAsia"/>
          <w:color w:val="auto"/>
          <w:spacing w:val="2"/>
        </w:rPr>
        <w:t>/</w:t>
      </w:r>
      <w:r>
        <w:rPr>
          <w:rFonts w:hint="eastAsia" w:asciiTheme="minorEastAsia" w:hAnsiTheme="minorEastAsia" w:eastAsiaTheme="minorEastAsia"/>
          <w:color w:val="auto"/>
          <w:spacing w:val="2"/>
        </w:rPr>
        <w:t>立方米，</w:t>
      </w:r>
      <w:r>
        <w:rPr>
          <w:rFonts w:asciiTheme="minorEastAsia" w:hAnsiTheme="minorEastAsia" w:eastAsiaTheme="minorEastAsia"/>
          <w:color w:val="auto"/>
          <w:kern w:val="0"/>
        </w:rPr>
        <w:t>SO</w:t>
      </w:r>
      <w:r>
        <w:rPr>
          <w:rFonts w:asciiTheme="minorEastAsia" w:hAnsiTheme="minorEastAsia" w:eastAsiaTheme="minorEastAsia"/>
          <w:color w:val="auto"/>
          <w:kern w:val="0"/>
          <w:vertAlign w:val="subscript"/>
        </w:rPr>
        <w:t>2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  <w:spacing w:val="-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  <w:spacing w:val="2"/>
        </w:rPr>
        <w:t>微克</w:t>
      </w:r>
      <w:r>
        <w:rPr>
          <w:rFonts w:asciiTheme="minorEastAsia" w:hAnsiTheme="minorEastAsia" w:eastAsiaTheme="minorEastAsia"/>
          <w:color w:val="auto"/>
          <w:spacing w:val="2"/>
        </w:rPr>
        <w:t>/</w:t>
      </w:r>
      <w:r>
        <w:rPr>
          <w:rFonts w:hint="eastAsia" w:asciiTheme="minorEastAsia" w:hAnsiTheme="minorEastAsia" w:eastAsiaTheme="minorEastAsia"/>
          <w:color w:val="auto"/>
          <w:spacing w:val="2"/>
        </w:rPr>
        <w:t>立方米，</w:t>
      </w:r>
      <w:r>
        <w:rPr>
          <w:rFonts w:asciiTheme="minorEastAsia" w:hAnsiTheme="minorEastAsia" w:eastAsiaTheme="minorEastAsia"/>
          <w:color w:val="auto"/>
          <w:kern w:val="0"/>
        </w:rPr>
        <w:t>NO</w:t>
      </w:r>
      <w:r>
        <w:rPr>
          <w:rFonts w:asciiTheme="minorEastAsia" w:hAnsiTheme="minorEastAsia" w:eastAsiaTheme="minorEastAsia"/>
          <w:color w:val="auto"/>
          <w:kern w:val="0"/>
          <w:vertAlign w:val="subscript"/>
        </w:rPr>
        <w:t>2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color w:val="auto"/>
          <w:spacing w:val="-4"/>
        </w:rPr>
        <w:t>微克</w:t>
      </w:r>
      <w:r>
        <w:rPr>
          <w:rFonts w:asciiTheme="minorEastAsia" w:hAnsiTheme="minorEastAsia" w:eastAsiaTheme="minorEastAsia"/>
          <w:color w:val="auto"/>
          <w:spacing w:val="-4"/>
        </w:rPr>
        <w:t>/</w:t>
      </w:r>
      <w:r>
        <w:rPr>
          <w:rFonts w:hint="eastAsia" w:asciiTheme="minorEastAsia" w:hAnsiTheme="minorEastAsia" w:eastAsiaTheme="minorEastAsia"/>
          <w:color w:val="auto"/>
          <w:spacing w:val="-4"/>
        </w:rPr>
        <w:t>立方米，</w:t>
      </w:r>
      <w:r>
        <w:rPr>
          <w:rFonts w:asciiTheme="minorEastAsia" w:hAnsiTheme="minorEastAsia" w:eastAsiaTheme="minorEastAsia"/>
          <w:color w:val="auto"/>
          <w:spacing w:val="2"/>
        </w:rPr>
        <w:t>CO</w:t>
      </w:r>
      <w:r>
        <w:rPr>
          <w:rFonts w:hint="eastAsia" w:asciiTheme="minorEastAsia" w:hAnsiTheme="minorEastAsia" w:eastAsiaTheme="minorEastAsia"/>
          <w:color w:val="auto"/>
          <w:spacing w:val="2"/>
        </w:rPr>
        <w:t>特定百分位数浓度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1.1</w:t>
      </w:r>
      <w:r>
        <w:rPr>
          <w:rFonts w:hint="eastAsia" w:asciiTheme="minorEastAsia" w:hAnsiTheme="minorEastAsia" w:eastAsiaTheme="minorEastAsia"/>
          <w:color w:val="auto"/>
          <w:spacing w:val="-4"/>
        </w:rPr>
        <w:t>毫克</w:t>
      </w:r>
      <w:r>
        <w:rPr>
          <w:rFonts w:asciiTheme="minorEastAsia" w:hAnsiTheme="minorEastAsia" w:eastAsiaTheme="minorEastAsia"/>
          <w:color w:val="auto"/>
          <w:spacing w:val="-4"/>
        </w:rPr>
        <w:t>/</w:t>
      </w:r>
      <w:r>
        <w:rPr>
          <w:rFonts w:hint="eastAsia" w:asciiTheme="minorEastAsia" w:hAnsiTheme="minorEastAsia" w:eastAsiaTheme="minorEastAsia"/>
          <w:color w:val="auto"/>
          <w:spacing w:val="-4"/>
        </w:rPr>
        <w:t>立方米，</w:t>
      </w:r>
      <w:r>
        <w:rPr>
          <w:rFonts w:asciiTheme="minorEastAsia" w:hAnsiTheme="minorEastAsia" w:eastAsiaTheme="minorEastAsia"/>
          <w:color w:val="auto"/>
          <w:spacing w:val="2"/>
        </w:rPr>
        <w:t>O</w:t>
      </w:r>
      <w:r>
        <w:rPr>
          <w:rFonts w:asciiTheme="minorEastAsia" w:hAnsiTheme="minorEastAsia" w:eastAsiaTheme="minorEastAsia"/>
          <w:color w:val="auto"/>
          <w:spacing w:val="2"/>
          <w:vertAlign w:val="subscript"/>
        </w:rPr>
        <w:t>3</w:t>
      </w:r>
      <w:r>
        <w:rPr>
          <w:rFonts w:hint="eastAsia" w:asciiTheme="minorEastAsia" w:hAnsiTheme="minorEastAsia" w:eastAsiaTheme="minorEastAsia"/>
          <w:color w:val="auto"/>
          <w:spacing w:val="2"/>
        </w:rPr>
        <w:t>特定百分位数浓度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  <w:spacing w:val="-4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pacing w:val="-4"/>
        </w:rPr>
        <w:t>微克</w:t>
      </w:r>
      <w:r>
        <w:rPr>
          <w:rFonts w:asciiTheme="minorEastAsia" w:hAnsiTheme="minorEastAsia" w:eastAsiaTheme="minorEastAsia"/>
          <w:color w:val="auto"/>
          <w:spacing w:val="-4"/>
        </w:rPr>
        <w:t>/</w:t>
      </w:r>
      <w:r>
        <w:rPr>
          <w:rFonts w:hint="eastAsia" w:asciiTheme="minorEastAsia" w:hAnsiTheme="minorEastAsia" w:eastAsiaTheme="minorEastAsia"/>
          <w:color w:val="auto"/>
          <w:spacing w:val="-4"/>
        </w:rPr>
        <w:t>立方米。</w:t>
      </w:r>
    </w:p>
    <w:p>
      <w:pPr>
        <w:pStyle w:val="4"/>
        <w:adjustRightInd w:val="0"/>
        <w:snapToGrid w:val="0"/>
        <w:spacing w:before="120" w:beforeLines="50" w:after="120" w:afterLines="50" w:line="36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（四）泾源县</w:t>
      </w:r>
    </w:p>
    <w:p>
      <w:pPr>
        <w:pStyle w:val="85"/>
        <w:spacing w:before="120" w:after="120"/>
        <w:ind w:firstLine="544" w:firstLineChars="200"/>
        <w:rPr>
          <w:rFonts w:asciiTheme="minorEastAsia" w:hAnsiTheme="minorEastAsia" w:eastAsiaTheme="minorEastAsia"/>
          <w:color w:val="auto"/>
          <w:spacing w:val="2"/>
        </w:rPr>
      </w:pP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有效监测天数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val="en-US" w:eastAsia="zh-CN"/>
        </w:rPr>
        <w:t>29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天，其中，一级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二级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eastAsia="zh-CN"/>
        </w:rPr>
        <w:t>优良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天数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val="en-US" w:eastAsia="zh-CN"/>
        </w:rPr>
        <w:t>28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天，良好以上天数占总有效监测天数的96.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val="en-US" w:eastAsia="zh-CN"/>
        </w:rPr>
        <w:t>6</w:t>
      </w:r>
      <w:r>
        <w:rPr>
          <w:rFonts w:cs="Times New Roman" w:asciiTheme="minorEastAsia" w:hAnsiTheme="minorEastAsia" w:eastAsiaTheme="minorEastAsia"/>
          <w:color w:val="auto"/>
          <w:spacing w:val="-4"/>
          <w:kern w:val="0"/>
        </w:rPr>
        <w:t>%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；</w:t>
      </w:r>
      <w:r>
        <w:rPr>
          <w:rFonts w:asciiTheme="minorEastAsia" w:hAnsiTheme="minorEastAsia" w:eastAsiaTheme="minorEastAsia"/>
          <w:bCs w:val="0"/>
          <w:color w:val="auto"/>
          <w:spacing w:val="2"/>
        </w:rPr>
        <w:t>PM</w:t>
      </w:r>
      <w:r>
        <w:rPr>
          <w:rFonts w:asciiTheme="minorEastAsia" w:hAnsiTheme="minorEastAsia" w:eastAsiaTheme="minorEastAsia"/>
          <w:bCs w:val="0"/>
          <w:color w:val="auto"/>
          <w:spacing w:val="2"/>
          <w:vertAlign w:val="subscript"/>
        </w:rPr>
        <w:t>10</w:t>
      </w:r>
      <w:r>
        <w:rPr>
          <w:rFonts w:hint="eastAsia" w:asciiTheme="minorEastAsia" w:hAnsiTheme="minorEastAsia" w:eastAsiaTheme="minorEastAsia"/>
          <w:color w:val="auto"/>
          <w:spacing w:val="2"/>
        </w:rPr>
        <w:t>为</w:t>
      </w:r>
      <w:r>
        <w:rPr>
          <w:rFonts w:hint="eastAsia" w:asciiTheme="minorEastAsia" w:hAnsiTheme="minorEastAsia" w:eastAsiaTheme="minorEastAsia"/>
          <w:color w:val="auto"/>
          <w:spacing w:val="2"/>
          <w:lang w:val="en-US" w:eastAsia="zh-CN"/>
        </w:rPr>
        <w:t>51</w:t>
      </w:r>
      <w:r>
        <w:rPr>
          <w:rFonts w:hint="eastAsia" w:asciiTheme="minorEastAsia" w:hAnsiTheme="minorEastAsia" w:eastAsiaTheme="minorEastAsia"/>
          <w:color w:val="auto"/>
          <w:spacing w:val="2"/>
        </w:rPr>
        <w:t>微克</w:t>
      </w:r>
      <w:r>
        <w:rPr>
          <w:rFonts w:asciiTheme="minorEastAsia" w:hAnsiTheme="minorEastAsia" w:eastAsiaTheme="minorEastAsia"/>
          <w:color w:val="auto"/>
          <w:spacing w:val="2"/>
        </w:rPr>
        <w:t>/</w:t>
      </w:r>
      <w:r>
        <w:rPr>
          <w:rFonts w:hint="eastAsia" w:asciiTheme="minorEastAsia" w:hAnsiTheme="minorEastAsia" w:eastAsiaTheme="minorEastAsia"/>
          <w:color w:val="auto"/>
          <w:spacing w:val="2"/>
        </w:rPr>
        <w:t>立方米</w:t>
      </w:r>
      <w:r>
        <w:rPr>
          <w:rFonts w:hint="eastAsia" w:cs="Times New Roman" w:asciiTheme="minorEastAsia" w:hAnsiTheme="minorEastAsia" w:eastAsiaTheme="minorEastAsia"/>
          <w:color w:val="auto"/>
        </w:rPr>
        <w:t>，</w:t>
      </w:r>
      <w:r>
        <w:rPr>
          <w:rFonts w:asciiTheme="minorEastAsia" w:hAnsiTheme="minorEastAsia" w:eastAsiaTheme="minorEastAsia"/>
          <w:color w:val="auto"/>
          <w:spacing w:val="-4"/>
        </w:rPr>
        <w:t>PM</w:t>
      </w:r>
      <w:r>
        <w:rPr>
          <w:rFonts w:asciiTheme="minorEastAsia" w:hAnsiTheme="minorEastAsia" w:eastAsiaTheme="minorEastAsia"/>
          <w:color w:val="auto"/>
          <w:spacing w:val="-4"/>
          <w:vertAlign w:val="subscript"/>
        </w:rPr>
        <w:t>2.5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  <w:spacing w:val="2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color w:val="auto"/>
          <w:spacing w:val="2"/>
        </w:rPr>
        <w:t>微克</w:t>
      </w:r>
      <w:r>
        <w:rPr>
          <w:rFonts w:asciiTheme="minorEastAsia" w:hAnsiTheme="minorEastAsia" w:eastAsiaTheme="minorEastAsia"/>
          <w:color w:val="auto"/>
          <w:spacing w:val="2"/>
        </w:rPr>
        <w:t>/</w:t>
      </w:r>
      <w:r>
        <w:rPr>
          <w:rFonts w:hint="eastAsia" w:asciiTheme="minorEastAsia" w:hAnsiTheme="minorEastAsia" w:eastAsiaTheme="minorEastAsia"/>
          <w:color w:val="auto"/>
          <w:spacing w:val="2"/>
        </w:rPr>
        <w:t>立方米，</w:t>
      </w:r>
      <w:r>
        <w:rPr>
          <w:rFonts w:asciiTheme="minorEastAsia" w:hAnsiTheme="minorEastAsia" w:eastAsiaTheme="minorEastAsia"/>
          <w:color w:val="auto"/>
          <w:kern w:val="0"/>
        </w:rPr>
        <w:t>SO</w:t>
      </w:r>
      <w:r>
        <w:rPr>
          <w:rFonts w:asciiTheme="minorEastAsia" w:hAnsiTheme="minorEastAsia" w:eastAsiaTheme="minorEastAsia"/>
          <w:color w:val="auto"/>
          <w:kern w:val="0"/>
          <w:vertAlign w:val="subscript"/>
        </w:rPr>
        <w:t>2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  <w:spacing w:val="-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spacing w:val="2"/>
        </w:rPr>
        <w:t>微克</w:t>
      </w:r>
      <w:r>
        <w:rPr>
          <w:rFonts w:asciiTheme="minorEastAsia" w:hAnsiTheme="minorEastAsia" w:eastAsiaTheme="minorEastAsia"/>
          <w:color w:val="auto"/>
          <w:spacing w:val="2"/>
        </w:rPr>
        <w:t>/</w:t>
      </w:r>
      <w:r>
        <w:rPr>
          <w:rFonts w:hint="eastAsia" w:asciiTheme="minorEastAsia" w:hAnsiTheme="minorEastAsia" w:eastAsiaTheme="minorEastAsia"/>
          <w:color w:val="auto"/>
          <w:spacing w:val="2"/>
        </w:rPr>
        <w:t>立方米，</w:t>
      </w:r>
      <w:r>
        <w:rPr>
          <w:rFonts w:asciiTheme="minorEastAsia" w:hAnsiTheme="minorEastAsia" w:eastAsiaTheme="minorEastAsia"/>
          <w:color w:val="auto"/>
          <w:kern w:val="0"/>
        </w:rPr>
        <w:t>NO</w:t>
      </w:r>
      <w:r>
        <w:rPr>
          <w:rFonts w:asciiTheme="minorEastAsia" w:hAnsiTheme="minorEastAsia" w:eastAsiaTheme="minorEastAsia"/>
          <w:color w:val="auto"/>
          <w:kern w:val="0"/>
          <w:vertAlign w:val="subscript"/>
        </w:rPr>
        <w:t>2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auto"/>
          <w:spacing w:val="-4"/>
        </w:rPr>
        <w:t>微克</w:t>
      </w:r>
      <w:r>
        <w:rPr>
          <w:rFonts w:asciiTheme="minorEastAsia" w:hAnsiTheme="minorEastAsia" w:eastAsiaTheme="minorEastAsia"/>
          <w:color w:val="auto"/>
          <w:spacing w:val="-4"/>
        </w:rPr>
        <w:t>/</w:t>
      </w:r>
      <w:r>
        <w:rPr>
          <w:rFonts w:hint="eastAsia" w:asciiTheme="minorEastAsia" w:hAnsiTheme="minorEastAsia" w:eastAsiaTheme="minorEastAsia"/>
          <w:color w:val="auto"/>
          <w:spacing w:val="-4"/>
        </w:rPr>
        <w:t>立方米，</w:t>
      </w:r>
      <w:r>
        <w:rPr>
          <w:rFonts w:asciiTheme="minorEastAsia" w:hAnsiTheme="minorEastAsia" w:eastAsiaTheme="minorEastAsia"/>
          <w:color w:val="auto"/>
          <w:spacing w:val="2"/>
        </w:rPr>
        <w:t>CO</w:t>
      </w:r>
      <w:r>
        <w:rPr>
          <w:rFonts w:hint="eastAsia" w:asciiTheme="minorEastAsia" w:hAnsiTheme="minorEastAsia" w:eastAsiaTheme="minorEastAsia"/>
          <w:color w:val="auto"/>
          <w:spacing w:val="2"/>
        </w:rPr>
        <w:t>特定百分位数浓度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0.8</w:t>
      </w:r>
      <w:r>
        <w:rPr>
          <w:rFonts w:hint="eastAsia" w:asciiTheme="minorEastAsia" w:hAnsiTheme="minorEastAsia" w:eastAsiaTheme="minorEastAsia"/>
          <w:color w:val="auto"/>
          <w:spacing w:val="-4"/>
        </w:rPr>
        <w:t>毫克</w:t>
      </w:r>
      <w:r>
        <w:rPr>
          <w:rFonts w:asciiTheme="minorEastAsia" w:hAnsiTheme="minorEastAsia" w:eastAsiaTheme="minorEastAsia"/>
          <w:color w:val="auto"/>
          <w:spacing w:val="-4"/>
        </w:rPr>
        <w:t>/</w:t>
      </w:r>
      <w:r>
        <w:rPr>
          <w:rFonts w:hint="eastAsia" w:asciiTheme="minorEastAsia" w:hAnsiTheme="minorEastAsia" w:eastAsiaTheme="minorEastAsia"/>
          <w:color w:val="auto"/>
          <w:spacing w:val="-4"/>
        </w:rPr>
        <w:t>立方米，</w:t>
      </w:r>
      <w:r>
        <w:rPr>
          <w:rFonts w:asciiTheme="minorEastAsia" w:hAnsiTheme="minorEastAsia" w:eastAsiaTheme="minorEastAsia"/>
          <w:color w:val="auto"/>
          <w:spacing w:val="2"/>
        </w:rPr>
        <w:t>O</w:t>
      </w:r>
      <w:r>
        <w:rPr>
          <w:rFonts w:asciiTheme="minorEastAsia" w:hAnsiTheme="minorEastAsia" w:eastAsiaTheme="minorEastAsia"/>
          <w:color w:val="auto"/>
          <w:spacing w:val="2"/>
          <w:vertAlign w:val="subscript"/>
        </w:rPr>
        <w:t>3</w:t>
      </w:r>
      <w:r>
        <w:rPr>
          <w:rFonts w:hint="eastAsia" w:asciiTheme="minorEastAsia" w:hAnsiTheme="minorEastAsia" w:eastAsiaTheme="minorEastAsia"/>
          <w:color w:val="auto"/>
          <w:spacing w:val="2"/>
        </w:rPr>
        <w:t>特定百分位数浓度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  <w:spacing w:val="-4"/>
          <w:lang w:val="en-US" w:eastAsia="zh-CN"/>
        </w:rPr>
        <w:t>93</w:t>
      </w:r>
      <w:r>
        <w:rPr>
          <w:rFonts w:hint="eastAsia" w:asciiTheme="minorEastAsia" w:hAnsiTheme="minorEastAsia" w:eastAsiaTheme="minorEastAsia"/>
          <w:color w:val="auto"/>
          <w:spacing w:val="-4"/>
        </w:rPr>
        <w:t>微克</w:t>
      </w:r>
      <w:r>
        <w:rPr>
          <w:rFonts w:asciiTheme="minorEastAsia" w:hAnsiTheme="minorEastAsia" w:eastAsiaTheme="minorEastAsia"/>
          <w:color w:val="auto"/>
          <w:spacing w:val="-4"/>
        </w:rPr>
        <w:t>/</w:t>
      </w:r>
      <w:r>
        <w:rPr>
          <w:rFonts w:hint="eastAsia" w:asciiTheme="minorEastAsia" w:hAnsiTheme="minorEastAsia" w:eastAsiaTheme="minorEastAsia"/>
          <w:color w:val="auto"/>
          <w:spacing w:val="-4"/>
        </w:rPr>
        <w:t>立方米</w:t>
      </w:r>
      <w:r>
        <w:rPr>
          <w:rFonts w:hint="eastAsia" w:asciiTheme="minorEastAsia" w:hAnsiTheme="minorEastAsia" w:eastAsiaTheme="minorEastAsia"/>
          <w:color w:val="auto"/>
          <w:spacing w:val="2"/>
        </w:rPr>
        <w:t>。</w:t>
      </w:r>
    </w:p>
    <w:p>
      <w:pPr>
        <w:pStyle w:val="4"/>
        <w:adjustRightInd w:val="0"/>
        <w:snapToGrid w:val="0"/>
        <w:spacing w:before="120" w:beforeLines="50" w:after="120" w:afterLines="50" w:line="36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（五）隆德县</w:t>
      </w:r>
    </w:p>
    <w:p>
      <w:pPr>
        <w:pStyle w:val="85"/>
        <w:spacing w:before="120" w:after="120"/>
        <w:ind w:firstLine="544" w:firstLineChars="200"/>
        <w:rPr>
          <w:rFonts w:cs="Times New Roman" w:asciiTheme="minorEastAsia" w:hAnsiTheme="minorEastAsia" w:eastAsiaTheme="minorEastAsia"/>
          <w:color w:val="auto"/>
        </w:rPr>
      </w:pP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有效监测天数2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val="en-US" w:eastAsia="zh-CN"/>
        </w:rPr>
        <w:t>9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天，其中，一级（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二级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eastAsia="zh-CN"/>
        </w:rPr>
        <w:t>优良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天数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  <w:lang w:val="en-US" w:eastAsia="zh-CN"/>
        </w:rPr>
        <w:t>29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天，良好以上天数占总有效监测天数的100</w:t>
      </w:r>
      <w:r>
        <w:rPr>
          <w:rFonts w:cs="Times New Roman" w:asciiTheme="minorEastAsia" w:hAnsiTheme="minorEastAsia" w:eastAsiaTheme="minorEastAsia"/>
          <w:color w:val="auto"/>
          <w:spacing w:val="-4"/>
          <w:kern w:val="0"/>
        </w:rPr>
        <w:t>%</w:t>
      </w:r>
      <w:r>
        <w:rPr>
          <w:rFonts w:hint="eastAsia" w:cs="Times New Roman" w:asciiTheme="minorEastAsia" w:hAnsiTheme="minorEastAsia" w:eastAsiaTheme="minorEastAsia"/>
          <w:color w:val="auto"/>
          <w:spacing w:val="-4"/>
          <w:kern w:val="0"/>
        </w:rPr>
        <w:t>；</w:t>
      </w:r>
      <w:r>
        <w:rPr>
          <w:rFonts w:asciiTheme="minorEastAsia" w:hAnsiTheme="minorEastAsia" w:eastAsiaTheme="minorEastAsia"/>
          <w:bCs w:val="0"/>
          <w:color w:val="auto"/>
          <w:spacing w:val="2"/>
        </w:rPr>
        <w:t>PM</w:t>
      </w:r>
      <w:r>
        <w:rPr>
          <w:rFonts w:asciiTheme="minorEastAsia" w:hAnsiTheme="minorEastAsia" w:eastAsiaTheme="minorEastAsia"/>
          <w:bCs w:val="0"/>
          <w:color w:val="auto"/>
          <w:spacing w:val="2"/>
          <w:vertAlign w:val="subscript"/>
        </w:rPr>
        <w:t>10</w:t>
      </w:r>
      <w:r>
        <w:rPr>
          <w:rFonts w:hint="eastAsia" w:asciiTheme="minorEastAsia" w:hAnsiTheme="minorEastAsia" w:eastAsiaTheme="minorEastAsia"/>
          <w:color w:val="auto"/>
          <w:spacing w:val="2"/>
        </w:rPr>
        <w:t>为4</w:t>
      </w:r>
      <w:r>
        <w:rPr>
          <w:rFonts w:hint="eastAsia" w:asciiTheme="minorEastAsia" w:hAnsiTheme="minorEastAsia" w:eastAsiaTheme="minorEastAsia"/>
          <w:color w:val="auto"/>
          <w:spacing w:val="2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pacing w:val="2"/>
        </w:rPr>
        <w:t>微克</w:t>
      </w:r>
      <w:r>
        <w:rPr>
          <w:rFonts w:asciiTheme="minorEastAsia" w:hAnsiTheme="minorEastAsia" w:eastAsiaTheme="minorEastAsia"/>
          <w:color w:val="auto"/>
          <w:spacing w:val="2"/>
        </w:rPr>
        <w:t>/</w:t>
      </w:r>
      <w:r>
        <w:rPr>
          <w:rFonts w:hint="eastAsia" w:asciiTheme="minorEastAsia" w:hAnsiTheme="minorEastAsia" w:eastAsiaTheme="minorEastAsia"/>
          <w:color w:val="auto"/>
          <w:spacing w:val="2"/>
        </w:rPr>
        <w:t>立方米，</w:t>
      </w:r>
      <w:r>
        <w:rPr>
          <w:rFonts w:asciiTheme="minorEastAsia" w:hAnsiTheme="minorEastAsia" w:eastAsiaTheme="minorEastAsia"/>
          <w:color w:val="auto"/>
          <w:spacing w:val="-4"/>
        </w:rPr>
        <w:t>PM</w:t>
      </w:r>
      <w:r>
        <w:rPr>
          <w:rFonts w:asciiTheme="minorEastAsia" w:hAnsiTheme="minorEastAsia" w:eastAsiaTheme="minorEastAsia"/>
          <w:color w:val="auto"/>
          <w:spacing w:val="-4"/>
          <w:vertAlign w:val="subscript"/>
        </w:rPr>
        <w:t>2.5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  <w:spacing w:val="2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color w:val="auto"/>
          <w:spacing w:val="2"/>
        </w:rPr>
        <w:t>微克</w:t>
      </w:r>
      <w:r>
        <w:rPr>
          <w:rFonts w:asciiTheme="minorEastAsia" w:hAnsiTheme="minorEastAsia" w:eastAsiaTheme="minorEastAsia"/>
          <w:color w:val="auto"/>
          <w:spacing w:val="2"/>
        </w:rPr>
        <w:t>/</w:t>
      </w:r>
      <w:r>
        <w:rPr>
          <w:rFonts w:hint="eastAsia" w:asciiTheme="minorEastAsia" w:hAnsiTheme="minorEastAsia" w:eastAsiaTheme="minorEastAsia"/>
          <w:color w:val="auto"/>
          <w:spacing w:val="2"/>
        </w:rPr>
        <w:t>立方米，</w:t>
      </w:r>
      <w:r>
        <w:rPr>
          <w:rFonts w:asciiTheme="minorEastAsia" w:hAnsiTheme="minorEastAsia" w:eastAsiaTheme="minorEastAsia"/>
          <w:color w:val="auto"/>
          <w:kern w:val="0"/>
        </w:rPr>
        <w:t>SO</w:t>
      </w:r>
      <w:r>
        <w:rPr>
          <w:rFonts w:asciiTheme="minorEastAsia" w:hAnsiTheme="minorEastAsia" w:eastAsiaTheme="minorEastAsia"/>
          <w:color w:val="auto"/>
          <w:kern w:val="0"/>
          <w:vertAlign w:val="subscript"/>
        </w:rPr>
        <w:t>2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  <w:spacing w:val="-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spacing w:val="2"/>
        </w:rPr>
        <w:t>微克</w:t>
      </w:r>
      <w:r>
        <w:rPr>
          <w:rFonts w:asciiTheme="minorEastAsia" w:hAnsiTheme="minorEastAsia" w:eastAsiaTheme="minorEastAsia"/>
          <w:color w:val="auto"/>
          <w:spacing w:val="2"/>
        </w:rPr>
        <w:t>/</w:t>
      </w:r>
      <w:r>
        <w:rPr>
          <w:rFonts w:hint="eastAsia" w:asciiTheme="minorEastAsia" w:hAnsiTheme="minorEastAsia" w:eastAsiaTheme="minorEastAsia"/>
          <w:color w:val="auto"/>
          <w:spacing w:val="2"/>
        </w:rPr>
        <w:t>立方米，</w:t>
      </w:r>
      <w:r>
        <w:rPr>
          <w:rFonts w:asciiTheme="minorEastAsia" w:hAnsiTheme="minorEastAsia" w:eastAsiaTheme="minorEastAsia"/>
          <w:color w:val="auto"/>
          <w:kern w:val="0"/>
        </w:rPr>
        <w:t>NO</w:t>
      </w:r>
      <w:r>
        <w:rPr>
          <w:rFonts w:asciiTheme="minorEastAsia" w:hAnsiTheme="minorEastAsia" w:eastAsiaTheme="minorEastAsia"/>
          <w:color w:val="auto"/>
          <w:kern w:val="0"/>
          <w:vertAlign w:val="subscript"/>
        </w:rPr>
        <w:t>2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</w:rPr>
        <w:t>1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pacing w:val="-4"/>
        </w:rPr>
        <w:t>微克</w:t>
      </w:r>
      <w:r>
        <w:rPr>
          <w:rFonts w:asciiTheme="minorEastAsia" w:hAnsiTheme="minorEastAsia" w:eastAsiaTheme="minorEastAsia"/>
          <w:color w:val="auto"/>
          <w:spacing w:val="-4"/>
        </w:rPr>
        <w:t>/</w:t>
      </w:r>
      <w:r>
        <w:rPr>
          <w:rFonts w:hint="eastAsia" w:asciiTheme="minorEastAsia" w:hAnsiTheme="minorEastAsia" w:eastAsiaTheme="minorEastAsia"/>
          <w:color w:val="auto"/>
          <w:spacing w:val="-4"/>
        </w:rPr>
        <w:t>立方米，</w:t>
      </w:r>
      <w:r>
        <w:rPr>
          <w:rFonts w:asciiTheme="minorEastAsia" w:hAnsiTheme="minorEastAsia" w:eastAsiaTheme="minorEastAsia"/>
          <w:color w:val="auto"/>
          <w:spacing w:val="2"/>
        </w:rPr>
        <w:t>CO</w:t>
      </w:r>
      <w:r>
        <w:rPr>
          <w:rFonts w:hint="eastAsia" w:asciiTheme="minorEastAsia" w:hAnsiTheme="minorEastAsia" w:eastAsiaTheme="minorEastAsia"/>
          <w:color w:val="auto"/>
          <w:spacing w:val="2"/>
        </w:rPr>
        <w:t>特定百分位数浓度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</w:rPr>
        <w:t>0.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  <w:spacing w:val="-4"/>
        </w:rPr>
        <w:t>毫克</w:t>
      </w:r>
      <w:r>
        <w:rPr>
          <w:rFonts w:asciiTheme="minorEastAsia" w:hAnsiTheme="minorEastAsia" w:eastAsiaTheme="minorEastAsia"/>
          <w:color w:val="auto"/>
          <w:spacing w:val="-4"/>
        </w:rPr>
        <w:t>/</w:t>
      </w:r>
      <w:r>
        <w:rPr>
          <w:rFonts w:hint="eastAsia" w:asciiTheme="minorEastAsia" w:hAnsiTheme="minorEastAsia" w:eastAsiaTheme="minorEastAsia"/>
          <w:color w:val="auto"/>
          <w:spacing w:val="-4"/>
        </w:rPr>
        <w:t>立方米，</w:t>
      </w:r>
      <w:r>
        <w:rPr>
          <w:rFonts w:asciiTheme="minorEastAsia" w:hAnsiTheme="minorEastAsia" w:eastAsiaTheme="minorEastAsia"/>
          <w:color w:val="auto"/>
          <w:spacing w:val="2"/>
        </w:rPr>
        <w:t>O</w:t>
      </w:r>
      <w:r>
        <w:rPr>
          <w:rFonts w:asciiTheme="minorEastAsia" w:hAnsiTheme="minorEastAsia" w:eastAsiaTheme="minorEastAsia"/>
          <w:color w:val="auto"/>
          <w:spacing w:val="2"/>
          <w:vertAlign w:val="subscript"/>
        </w:rPr>
        <w:t>3</w:t>
      </w:r>
      <w:r>
        <w:rPr>
          <w:rFonts w:hint="eastAsia" w:asciiTheme="minorEastAsia" w:hAnsiTheme="minorEastAsia" w:eastAsiaTheme="minorEastAsia"/>
          <w:color w:val="auto"/>
          <w:spacing w:val="2"/>
        </w:rPr>
        <w:t>特定百分位数浓度</w:t>
      </w:r>
      <w:r>
        <w:rPr>
          <w:rFonts w:hint="eastAsia" w:asciiTheme="minorEastAsia" w:hAnsiTheme="minorEastAsia" w:eastAsiaTheme="minorEastAsia"/>
          <w:color w:val="auto"/>
          <w:spacing w:val="-4"/>
        </w:rPr>
        <w:t>为</w:t>
      </w:r>
      <w:r>
        <w:rPr>
          <w:rFonts w:hint="eastAsia" w:asciiTheme="minorEastAsia" w:hAnsiTheme="minorEastAsia" w:eastAsiaTheme="minorEastAsia"/>
          <w:color w:val="auto"/>
          <w:spacing w:val="-4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color w:val="auto"/>
          <w:spacing w:val="-4"/>
        </w:rPr>
        <w:t>微克</w:t>
      </w:r>
      <w:r>
        <w:rPr>
          <w:rFonts w:asciiTheme="minorEastAsia" w:hAnsiTheme="minorEastAsia" w:eastAsiaTheme="minorEastAsia"/>
          <w:color w:val="auto"/>
          <w:spacing w:val="-4"/>
        </w:rPr>
        <w:t>/</w:t>
      </w:r>
      <w:r>
        <w:rPr>
          <w:rFonts w:hint="eastAsia" w:asciiTheme="minorEastAsia" w:hAnsiTheme="minorEastAsia" w:eastAsiaTheme="minorEastAsia"/>
          <w:color w:val="auto"/>
          <w:spacing w:val="-4"/>
        </w:rPr>
        <w:t>立方米</w:t>
      </w:r>
      <w:r>
        <w:rPr>
          <w:rFonts w:hint="eastAsia" w:cs="Times New Roman" w:asciiTheme="minorEastAsia" w:hAnsiTheme="minorEastAsia" w:eastAsiaTheme="minorEastAsia"/>
          <w:color w:val="auto"/>
        </w:rPr>
        <w:t>。</w:t>
      </w:r>
    </w:p>
    <w:p>
      <w:pPr>
        <w:pStyle w:val="85"/>
        <w:spacing w:before="120" w:after="120"/>
        <w:ind w:firstLine="560" w:firstLineChars="200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详见表2-1《主要环境质量数据统计》。</w:t>
      </w:r>
    </w:p>
    <w:p>
      <w:pPr>
        <w:pStyle w:val="4"/>
        <w:adjustRightInd w:val="0"/>
        <w:snapToGrid w:val="0"/>
        <w:spacing w:before="120" w:beforeLines="50" w:after="120" w:afterLines="50" w:line="36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（六）环境空气质量排名</w:t>
      </w:r>
    </w:p>
    <w:p>
      <w:pPr>
        <w:pStyle w:val="85"/>
        <w:spacing w:before="120" w:after="120"/>
        <w:ind w:firstLine="560" w:firstLineChars="200"/>
        <w:rPr>
          <w:rFonts w:cs="Times New Roman" w:asciiTheme="minorEastAsia" w:hAnsiTheme="minorEastAsia" w:eastAsiaTheme="minorEastAsia"/>
          <w:color w:val="auto"/>
        </w:rPr>
      </w:pPr>
      <w:r>
        <w:rPr>
          <w:rFonts w:cs="Times New Roman" w:asciiTheme="minorEastAsia" w:hAnsiTheme="minorEastAsia" w:eastAsiaTheme="minorEastAsia"/>
          <w:color w:val="auto"/>
        </w:rPr>
        <w:t>采用综合污染指数法，对</w:t>
      </w:r>
      <w:r>
        <w:rPr>
          <w:rFonts w:asciiTheme="minorEastAsia" w:hAnsiTheme="minorEastAsia" w:eastAsiaTheme="minorEastAsia"/>
          <w:bCs w:val="0"/>
          <w:color w:val="auto"/>
          <w:spacing w:val="2"/>
        </w:rPr>
        <w:t>PM</w:t>
      </w:r>
      <w:r>
        <w:rPr>
          <w:rFonts w:asciiTheme="minorEastAsia" w:hAnsiTheme="minorEastAsia" w:eastAsiaTheme="minorEastAsia"/>
          <w:bCs w:val="0"/>
          <w:color w:val="auto"/>
          <w:spacing w:val="2"/>
          <w:vertAlign w:val="subscript"/>
        </w:rPr>
        <w:t>10</w:t>
      </w:r>
      <w:r>
        <w:rPr>
          <w:rFonts w:asciiTheme="minorEastAsia" w:hAnsiTheme="minorEastAsia" w:eastAsiaTheme="minorEastAsia"/>
          <w:color w:val="auto"/>
          <w:spacing w:val="-4"/>
        </w:rPr>
        <w:t xml:space="preserve"> </w:t>
      </w:r>
      <w:r>
        <w:rPr>
          <w:rFonts w:cs="Times New Roman" w:asciiTheme="minorEastAsia" w:hAnsiTheme="minorEastAsia" w:eastAsiaTheme="minorEastAsia"/>
          <w:color w:val="auto"/>
        </w:rPr>
        <w:t>、</w:t>
      </w:r>
      <w:r>
        <w:rPr>
          <w:rFonts w:asciiTheme="minorEastAsia" w:hAnsiTheme="minorEastAsia" w:eastAsiaTheme="minorEastAsia"/>
          <w:color w:val="auto"/>
          <w:spacing w:val="-4"/>
        </w:rPr>
        <w:t>PM</w:t>
      </w:r>
      <w:r>
        <w:rPr>
          <w:rFonts w:asciiTheme="minorEastAsia" w:hAnsiTheme="minorEastAsia" w:eastAsiaTheme="minorEastAsia"/>
          <w:color w:val="auto"/>
          <w:spacing w:val="-4"/>
          <w:vertAlign w:val="subscript"/>
        </w:rPr>
        <w:t>2.5</w:t>
      </w:r>
      <w:r>
        <w:rPr>
          <w:rFonts w:cs="Times New Roman" w:asciiTheme="minorEastAsia" w:hAnsiTheme="minorEastAsia" w:eastAsiaTheme="minorEastAsia"/>
          <w:color w:val="auto"/>
        </w:rPr>
        <w:t>、</w:t>
      </w:r>
      <w:r>
        <w:rPr>
          <w:rFonts w:asciiTheme="minorEastAsia" w:hAnsiTheme="minorEastAsia" w:eastAsiaTheme="minorEastAsia"/>
          <w:color w:val="auto"/>
          <w:kern w:val="0"/>
        </w:rPr>
        <w:t xml:space="preserve"> SO</w:t>
      </w:r>
      <w:r>
        <w:rPr>
          <w:rFonts w:asciiTheme="minorEastAsia" w:hAnsiTheme="minorEastAsia" w:eastAsiaTheme="minorEastAsia"/>
          <w:color w:val="auto"/>
          <w:kern w:val="0"/>
          <w:vertAlign w:val="subscript"/>
        </w:rPr>
        <w:t>2</w:t>
      </w:r>
      <w:r>
        <w:rPr>
          <w:rFonts w:cs="Times New Roman" w:asciiTheme="minorEastAsia" w:hAnsiTheme="minorEastAsia" w:eastAsiaTheme="minorEastAsia"/>
          <w:color w:val="auto"/>
        </w:rPr>
        <w:t>、</w:t>
      </w:r>
      <w:r>
        <w:rPr>
          <w:rFonts w:asciiTheme="minorEastAsia" w:hAnsiTheme="minorEastAsia" w:eastAsiaTheme="minorEastAsia"/>
          <w:color w:val="auto"/>
          <w:kern w:val="0"/>
        </w:rPr>
        <w:t xml:space="preserve"> NO</w:t>
      </w:r>
      <w:r>
        <w:rPr>
          <w:rFonts w:asciiTheme="minorEastAsia" w:hAnsiTheme="minorEastAsia" w:eastAsiaTheme="minorEastAsia"/>
          <w:color w:val="auto"/>
          <w:kern w:val="0"/>
          <w:vertAlign w:val="subscript"/>
        </w:rPr>
        <w:t>2</w:t>
      </w:r>
      <w:r>
        <w:rPr>
          <w:rFonts w:cs="Times New Roman" w:asciiTheme="minorEastAsia" w:hAnsiTheme="minorEastAsia" w:eastAsiaTheme="minorEastAsia"/>
          <w:color w:val="auto"/>
        </w:rPr>
        <w:t>、</w:t>
      </w:r>
      <w:r>
        <w:rPr>
          <w:rFonts w:asciiTheme="minorEastAsia" w:hAnsiTheme="minorEastAsia" w:eastAsiaTheme="minorEastAsia"/>
          <w:color w:val="auto"/>
          <w:spacing w:val="2"/>
        </w:rPr>
        <w:t xml:space="preserve">CO </w:t>
      </w:r>
      <w:r>
        <w:rPr>
          <w:rFonts w:cs="Times New Roman" w:asciiTheme="minorEastAsia" w:hAnsiTheme="minorEastAsia" w:eastAsiaTheme="minorEastAsia"/>
          <w:color w:val="auto"/>
        </w:rPr>
        <w:t>、</w:t>
      </w:r>
      <w:r>
        <w:rPr>
          <w:rFonts w:asciiTheme="minorEastAsia" w:hAnsiTheme="minorEastAsia" w:eastAsiaTheme="minorEastAsia"/>
          <w:color w:val="auto"/>
          <w:spacing w:val="2"/>
        </w:rPr>
        <w:t>O</w:t>
      </w:r>
      <w:r>
        <w:rPr>
          <w:rFonts w:asciiTheme="minorEastAsia" w:hAnsiTheme="minorEastAsia" w:eastAsiaTheme="minorEastAsia"/>
          <w:color w:val="auto"/>
          <w:spacing w:val="2"/>
          <w:vertAlign w:val="subscript"/>
        </w:rPr>
        <w:t>3</w:t>
      </w:r>
      <w:r>
        <w:rPr>
          <w:rFonts w:cs="Times New Roman" w:asciiTheme="minorEastAsia" w:hAnsiTheme="minorEastAsia" w:eastAsiaTheme="minorEastAsia"/>
          <w:color w:val="auto"/>
        </w:rPr>
        <w:t>六项指标进行计算，</w:t>
      </w:r>
      <w:r>
        <w:rPr>
          <w:rFonts w:hint="eastAsia" w:cs="Times New Roman" w:asciiTheme="minorEastAsia" w:hAnsiTheme="minorEastAsia" w:eastAsiaTheme="minorEastAsia"/>
          <w:color w:val="auto"/>
        </w:rPr>
        <w:t>隆德县</w:t>
      </w:r>
      <w:r>
        <w:rPr>
          <w:rFonts w:cs="Times New Roman" w:asciiTheme="minorEastAsia" w:hAnsiTheme="minorEastAsia" w:eastAsiaTheme="minorEastAsia"/>
          <w:color w:val="auto"/>
        </w:rPr>
        <w:t>污染指数</w:t>
      </w:r>
      <w:r>
        <w:rPr>
          <w:rFonts w:hint="eastAsia" w:cs="Times New Roman" w:asciiTheme="minorEastAsia" w:hAnsiTheme="minorEastAsia" w:eastAsiaTheme="minorEastAsia"/>
          <w:color w:val="auto"/>
        </w:rPr>
        <w:t>2.</w:t>
      </w:r>
      <w:r>
        <w:rPr>
          <w:rFonts w:hint="eastAsia" w:cs="Times New Roman" w:asciiTheme="minorEastAsia" w:hAnsiTheme="minorEastAsia" w:eastAsiaTheme="minorEastAsia"/>
          <w:color w:val="auto"/>
          <w:lang w:val="en-US" w:eastAsia="zh-CN"/>
        </w:rPr>
        <w:t>25</w:t>
      </w:r>
      <w:r>
        <w:rPr>
          <w:rFonts w:hint="eastAsia" w:cs="Times New Roman" w:asciiTheme="minorEastAsia" w:hAnsiTheme="minorEastAsia" w:eastAsiaTheme="minorEastAsia"/>
          <w:color w:val="auto"/>
        </w:rPr>
        <w:t>，相对环境质量最好排第一，其次为</w:t>
      </w:r>
      <w:r>
        <w:rPr>
          <w:rFonts w:cs="Times New Roman" w:asciiTheme="minorEastAsia" w:hAnsiTheme="minorEastAsia" w:eastAsiaTheme="minorEastAsia"/>
          <w:color w:val="auto"/>
        </w:rPr>
        <w:t>泾源县、</w:t>
      </w:r>
      <w:r>
        <w:rPr>
          <w:rFonts w:hint="eastAsia" w:cs="Times New Roman" w:asciiTheme="minorEastAsia" w:hAnsiTheme="minorEastAsia" w:eastAsiaTheme="minorEastAsia"/>
          <w:color w:val="auto"/>
        </w:rPr>
        <w:t>彭阳县、西吉县</w:t>
      </w:r>
      <w:r>
        <w:rPr>
          <w:rFonts w:hint="eastAsia" w:cs="Times New Roman" w:asciiTheme="minorEastAsia" w:hAnsiTheme="minorEastAsia" w:eastAsiaTheme="minorEastAsia"/>
          <w:color w:val="auto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color w:val="auto"/>
        </w:rPr>
        <w:t>原州区排最后。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Start w:id="95" w:name="_Toc421799427"/>
    </w:p>
    <w:p>
      <w:pPr>
        <w:pStyle w:val="85"/>
        <w:spacing w:beforeLines="0" w:afterLines="0" w:line="580" w:lineRule="exact"/>
        <w:rPr>
          <w:rStyle w:val="95"/>
          <w:bCs w:val="0"/>
        </w:rPr>
      </w:pPr>
      <w:r>
        <w:rPr>
          <w:rStyle w:val="95"/>
          <w:rFonts w:hint="eastAsia"/>
          <w:bCs w:val="0"/>
        </w:rPr>
        <w:t>三、噪声环境质量</w:t>
      </w:r>
    </w:p>
    <w:p>
      <w:pPr>
        <w:pStyle w:val="85"/>
        <w:spacing w:beforeLines="0" w:afterLines="0" w:line="580" w:lineRule="exact"/>
        <w:ind w:firstLine="560" w:firstLineChars="200"/>
        <w:rPr>
          <w:rFonts w:cs="Times New Roman" w:asciiTheme="minorEastAsia" w:hAnsiTheme="minorEastAsia" w:eastAsiaTheme="minorEastAsia"/>
          <w:color w:val="auto"/>
        </w:rPr>
      </w:pPr>
      <w:r>
        <w:rPr>
          <w:rFonts w:hint="eastAsia" w:cs="Times New Roman" w:asciiTheme="minorEastAsia" w:hAnsiTheme="minorEastAsia" w:eastAsiaTheme="minorEastAsia"/>
          <w:color w:val="auto"/>
        </w:rPr>
        <w:t>1类功能区、2类功能区、3类功能区昼、夜间等效声级均达标，达标率为100%;4类功能区昼间等效声级达标，夜间等效声级不达标,4类区昼间及夜间达标率为50%。</w:t>
      </w:r>
    </w:p>
    <w:p>
      <w:pPr>
        <w:pStyle w:val="85"/>
        <w:spacing w:before="120" w:after="120"/>
        <w:ind w:firstLine="560" w:firstLineChars="200"/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  <w:bCs/>
          <w:spacing w:val="-4"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701" w:bottom="1701" w:left="1701" w:header="851" w:footer="1134" w:gutter="0"/>
          <w:cols w:space="425" w:num="1"/>
          <w:docGrid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 xml:space="preserve">表1-2  </w:t>
      </w: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bCs/>
          <w:sz w:val="24"/>
        </w:rPr>
        <w:t xml:space="preserve">  20</w:t>
      </w: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b/>
          <w:bCs/>
          <w:sz w:val="24"/>
        </w:rPr>
        <w:t>年</w:t>
      </w: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bCs/>
          <w:sz w:val="24"/>
        </w:rPr>
        <w:t>月</w:t>
      </w:r>
      <w:r>
        <w:rPr>
          <w:rFonts w:hint="eastAsia" w:asciiTheme="minorEastAsia" w:hAnsiTheme="minorEastAsia" w:eastAsiaTheme="minorEastAsia"/>
          <w:b/>
          <w:bCs/>
          <w:sz w:val="24"/>
          <w:lang w:eastAsia="zh-CN"/>
        </w:rPr>
        <w:t>地表水各</w:t>
      </w:r>
      <w:r>
        <w:rPr>
          <w:rFonts w:hint="eastAsia" w:asciiTheme="minorEastAsia" w:hAnsiTheme="minorEastAsia" w:eastAsiaTheme="minorEastAsia"/>
          <w:b/>
          <w:bCs/>
          <w:sz w:val="24"/>
        </w:rPr>
        <w:t>断面主要监测数据统计表                   单位：mg/L</w:t>
      </w:r>
    </w:p>
    <w:tbl>
      <w:tblPr>
        <w:tblStyle w:val="30"/>
        <w:tblW w:w="1366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268"/>
        <w:gridCol w:w="1221"/>
        <w:gridCol w:w="1221"/>
        <w:gridCol w:w="1221"/>
        <w:gridCol w:w="1221"/>
        <w:gridCol w:w="1221"/>
        <w:gridCol w:w="1221"/>
        <w:gridCol w:w="1222"/>
        <w:gridCol w:w="12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月份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出境断面</w:t>
            </w:r>
          </w:p>
        </w:tc>
        <w:tc>
          <w:tcPr>
            <w:tcW w:w="12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溶解氧</w:t>
            </w:r>
          </w:p>
        </w:tc>
        <w:tc>
          <w:tcPr>
            <w:tcW w:w="12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高锰酸盐指数</w:t>
            </w:r>
          </w:p>
        </w:tc>
        <w:tc>
          <w:tcPr>
            <w:tcW w:w="12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五日生化需氧量</w:t>
            </w:r>
          </w:p>
        </w:tc>
        <w:tc>
          <w:tcPr>
            <w:tcW w:w="12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氨氮</w:t>
            </w:r>
          </w:p>
        </w:tc>
        <w:tc>
          <w:tcPr>
            <w:tcW w:w="12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化学需氧量</w:t>
            </w:r>
          </w:p>
        </w:tc>
        <w:tc>
          <w:tcPr>
            <w:tcW w:w="12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总磷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氟化物</w:t>
            </w:r>
          </w:p>
        </w:tc>
        <w:tc>
          <w:tcPr>
            <w:tcW w:w="127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水质类别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《地表水环境质量标准》GB3838-2002标准限值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Ⅰ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0.15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Ⅱ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Ⅲ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Ⅳ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27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Ⅴ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0.4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27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国控第三方数据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玉桥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弹筝峡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三营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Ⅳ类</w:t>
            </w:r>
          </w:p>
        </w:tc>
      </w:tr>
      <w:tr>
        <w:trPr>
          <w:trHeight w:val="238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沟圈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联财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区控第三方数据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二十里铺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峰台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 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龙潭水库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石河桥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 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冬至河入清水河断面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 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常沟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乃家河水库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 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7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市控本单位数据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方正宋三简体" w:hAnsi="方正宋三简体" w:eastAsia="方正宋三简体" w:cs="方正宋三简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三里店水库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 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方正宋三简体" w:hAnsi="方正宋三简体" w:eastAsia="方正宋三简体" w:cs="方正宋三简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夏寨水库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方正宋三简体" w:hAnsi="方正宋三简体" w:eastAsia="方正宋三简体" w:cs="方正宋三简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沈家河水库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3.78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方正宋三简体" w:hAnsi="方正宋三简体" w:eastAsia="方正宋三简体" w:cs="方正宋三简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李河桥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 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Ⅱ类</w:t>
            </w:r>
          </w:p>
        </w:tc>
      </w:tr>
    </w:tbl>
    <w:p>
      <w:pPr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备注：1、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监测指标有电导率、水温、pH值、溶解氧、透明度、盐度、COD</w:t>
      </w:r>
      <w:r>
        <w:rPr>
          <w:rFonts w:hint="eastAsia" w:ascii="宋体" w:hAnsi="宋体" w:cs="宋体"/>
          <w:color w:val="000000"/>
          <w:kern w:val="0"/>
          <w:sz w:val="22"/>
          <w:szCs w:val="22"/>
          <w:vertAlign w:val="subscript"/>
        </w:rPr>
        <w:t>Mn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、COD</w:t>
      </w:r>
      <w:r>
        <w:rPr>
          <w:rFonts w:hint="eastAsia" w:ascii="宋体" w:hAnsi="宋体" w:cs="宋体"/>
          <w:color w:val="000000"/>
          <w:kern w:val="0"/>
          <w:sz w:val="22"/>
          <w:szCs w:val="22"/>
          <w:vertAlign w:val="subscript"/>
        </w:rPr>
        <w:t>Cr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、NH</w:t>
      </w:r>
      <w:r>
        <w:rPr>
          <w:rFonts w:hint="eastAsia" w:ascii="宋体" w:hAnsi="宋体" w:cs="宋体"/>
          <w:color w:val="000000"/>
          <w:kern w:val="0"/>
          <w:sz w:val="22"/>
          <w:szCs w:val="22"/>
          <w:vertAlign w:val="subscript"/>
        </w:rPr>
        <w:t>3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-N、T-P、T-N、Cu、Zn、Pb、Cd、BOD</w:t>
      </w:r>
      <w:r>
        <w:rPr>
          <w:rFonts w:hint="eastAsia" w:ascii="宋体" w:hAnsi="宋体" w:cs="宋体"/>
          <w:color w:val="000000"/>
          <w:kern w:val="0"/>
          <w:sz w:val="22"/>
          <w:szCs w:val="22"/>
          <w:vertAlign w:val="subscript"/>
        </w:rPr>
        <w:t>5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、T-As、T-Se、T-Hg、Cr</w:t>
      </w:r>
      <w:r>
        <w:rPr>
          <w:rFonts w:hint="eastAsia" w:ascii="宋体" w:hAnsi="宋体" w:cs="宋体"/>
          <w:color w:val="000000"/>
          <w:kern w:val="0"/>
          <w:sz w:val="22"/>
          <w:szCs w:val="22"/>
          <w:vertAlign w:val="superscript"/>
        </w:rPr>
        <w:t>6+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、F</w:t>
      </w:r>
      <w:r>
        <w:rPr>
          <w:rFonts w:hint="eastAsia" w:ascii="宋体" w:hAnsi="宋体" w:cs="宋体"/>
          <w:color w:val="000000"/>
          <w:kern w:val="0"/>
          <w:sz w:val="22"/>
          <w:szCs w:val="22"/>
          <w:vertAlign w:val="superscript"/>
        </w:rPr>
        <w:t>-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、CN</w:t>
      </w:r>
      <w:r>
        <w:rPr>
          <w:rFonts w:hint="eastAsia" w:ascii="宋体" w:hAnsi="宋体" w:cs="宋体"/>
          <w:color w:val="000000"/>
          <w:kern w:val="0"/>
          <w:sz w:val="22"/>
          <w:szCs w:val="22"/>
          <w:vertAlign w:val="superscript"/>
        </w:rPr>
        <w:t>-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、挥发酚、石油类、LAS、S</w:t>
      </w:r>
      <w:r>
        <w:rPr>
          <w:rFonts w:hint="eastAsia" w:ascii="宋体" w:hAnsi="宋体" w:cs="宋体"/>
          <w:color w:val="000000"/>
          <w:kern w:val="0"/>
          <w:sz w:val="22"/>
          <w:szCs w:val="22"/>
          <w:vertAlign w:val="superscript"/>
        </w:rPr>
        <w:t>2-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、Chla、NO</w:t>
      </w:r>
      <w:r>
        <w:rPr>
          <w:rFonts w:hint="eastAsia" w:ascii="宋体" w:hAnsi="宋体" w:cs="宋体"/>
          <w:color w:val="000000"/>
          <w:kern w:val="0"/>
          <w:sz w:val="22"/>
          <w:szCs w:val="22"/>
          <w:vertAlign w:val="superscript"/>
        </w:rPr>
        <w:t>3-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、NO</w:t>
      </w:r>
      <w:r>
        <w:rPr>
          <w:rFonts w:hint="eastAsia" w:ascii="宋体" w:hAnsi="宋体" w:cs="宋体"/>
          <w:color w:val="000000"/>
          <w:kern w:val="0"/>
          <w:sz w:val="22"/>
          <w:szCs w:val="22"/>
          <w:vertAlign w:val="superscript"/>
        </w:rPr>
        <w:t>2-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、流量30项，其中未检出或者监测值达到《地表水环境质量标准》GB3838-2002中Ⅱ类水标准限值的指标未统计，仅对主要污染物溶解氧、高锰酸盐指数、五日生化需氧量、氨氮、化学需氧量、总磷、氟化物7项指标进行统计。</w:t>
      </w:r>
    </w:p>
    <w:p>
      <w:pPr>
        <w:jc w:val="left"/>
        <w:rPr>
          <w:rFonts w:asciiTheme="minorEastAsia" w:hAnsiTheme="minorEastAsia" w:eastAsiaTheme="minorEastAsia"/>
          <w:b/>
          <w:bCs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    2、劣Ⅴ（劣Ⅴ）：沟圈断面----正常评价水质类别（剔除氟化物影响后水质类别）</w:t>
      </w:r>
    </w:p>
    <w:p>
      <w:pPr>
        <w:jc w:val="center"/>
        <w:rPr>
          <w:rFonts w:asciiTheme="minorEastAsia" w:hAnsiTheme="minorEastAsia" w:eastAsiaTheme="minorEastAsia"/>
          <w:bCs/>
          <w:snapToGrid w:val="0"/>
          <w:kern w:val="0"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/>
          <w:b/>
          <w:bCs/>
          <w:sz w:val="24"/>
        </w:rPr>
      </w:pPr>
    </w:p>
    <w:p>
      <w:pPr>
        <w:jc w:val="center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表2-1      20</w:t>
      </w: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b/>
          <w:bCs/>
          <w:sz w:val="24"/>
        </w:rPr>
        <w:t>年</w:t>
      </w: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bCs/>
          <w:sz w:val="24"/>
        </w:rPr>
        <w:t>月主要环境质量数据统计</w:t>
      </w:r>
    </w:p>
    <w:p>
      <w:pPr>
        <w:jc w:val="center"/>
        <w:rPr>
          <w:rFonts w:hint="eastAsia" w:asciiTheme="minorEastAsia" w:hAnsiTheme="minorEastAsia" w:eastAsiaTheme="minorEastAsia"/>
          <w:b/>
          <w:bCs/>
          <w:sz w:val="24"/>
        </w:rPr>
      </w:pPr>
    </w:p>
    <w:tbl>
      <w:tblPr>
        <w:tblStyle w:val="31"/>
        <w:tblW w:w="14363" w:type="dxa"/>
        <w:tblInd w:w="-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983"/>
        <w:gridCol w:w="730"/>
        <w:gridCol w:w="834"/>
        <w:gridCol w:w="715"/>
        <w:gridCol w:w="1326"/>
        <w:gridCol w:w="1177"/>
        <w:gridCol w:w="1028"/>
        <w:gridCol w:w="953"/>
        <w:gridCol w:w="1728"/>
        <w:gridCol w:w="1162"/>
        <w:gridCol w:w="1629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县区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综合指数排名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综合指数同比变</w:t>
            </w:r>
            <w:r>
              <w:rPr>
                <w:rFonts w:hint="eastAsia"/>
                <w:b/>
                <w:bCs/>
                <w:lang w:eastAsia="zh-CN"/>
              </w:rPr>
              <w:t>化</w:t>
            </w:r>
            <w:r>
              <w:rPr>
                <w:rFonts w:hint="eastAsia"/>
                <w:b/>
                <w:bCs/>
              </w:rPr>
              <w:t>率排名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优良天数</w:t>
            </w:r>
          </w:p>
        </w:tc>
        <w:tc>
          <w:tcPr>
            <w:tcW w:w="5594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主要监测项目平均浓度（μg/m</w:t>
            </w:r>
            <w:r>
              <w:rPr>
                <w:rFonts w:hint="eastAsia"/>
                <w:b/>
                <w:bCs/>
                <w:vertAlign w:val="superscript"/>
              </w:rPr>
              <w:t>3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综合指数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同比变</w:t>
            </w:r>
            <w:r>
              <w:rPr>
                <w:rFonts w:hint="eastAsia"/>
                <w:b/>
                <w:bCs/>
                <w:lang w:eastAsia="zh-CN"/>
              </w:rPr>
              <w:t>化</w:t>
            </w:r>
            <w:r>
              <w:rPr>
                <w:rFonts w:hint="eastAsia"/>
                <w:b/>
                <w:bCs/>
              </w:rPr>
              <w:t>率（%）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空气质量变化情况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比例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（%）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同比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（%）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可吸入颗粒物PM</w:t>
            </w:r>
            <w:r>
              <w:rPr>
                <w:rFonts w:hint="eastAsia"/>
                <w:b/>
                <w:bCs/>
                <w:vertAlign w:val="subscript"/>
              </w:rPr>
              <w:t>10</w:t>
            </w:r>
            <w:r>
              <w:rPr>
                <w:rFonts w:hint="eastAsia"/>
                <w:b/>
                <w:bCs/>
              </w:rPr>
              <w:t>平均浓度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同比变化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（%）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细颗粒物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PM</w:t>
            </w:r>
            <w:r>
              <w:rPr>
                <w:rFonts w:hint="eastAsia"/>
                <w:b/>
                <w:bCs/>
                <w:vertAlign w:val="subscript"/>
              </w:rPr>
              <w:t>2.5</w:t>
            </w:r>
            <w:r>
              <w:rPr>
                <w:rFonts w:hint="eastAsia"/>
                <w:b/>
                <w:bCs/>
              </w:rPr>
              <w:t>平均浓度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同比变化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2月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隆德县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-15.1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改善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-12.2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径源县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2.48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-20.0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改善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96.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-19.1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彭阳县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-14.8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改善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-3.3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-24.7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西吉县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3.17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-15.7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改善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-7.5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原州区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3.23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-20.6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改善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93.1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-31.0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-2.5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/>
          <w:b/>
          <w:bCs/>
          <w:sz w:val="24"/>
        </w:rPr>
      </w:pPr>
    </w:p>
    <w:p>
      <w:pPr>
        <w:jc w:val="center"/>
        <w:rPr>
          <w:rFonts w:hint="eastAsia" w:asciiTheme="minorEastAsia" w:hAnsiTheme="minorEastAsia" w:eastAsiaTheme="minorEastAsia"/>
          <w:b/>
          <w:bCs/>
          <w:sz w:val="24"/>
        </w:rPr>
      </w:pPr>
    </w:p>
    <w:bookmarkEnd w:id="95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6" w:type="default"/>
      <w:footerReference r:id="rId7" w:type="default"/>
      <w:footerReference r:id="rId8" w:type="even"/>
      <w:pgSz w:w="16838" w:h="11906" w:orient="landscape"/>
      <w:pgMar w:top="1701" w:right="1701" w:bottom="1701" w:left="1701" w:header="851" w:footer="113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宋三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center" w:y="1"/>
      <w:jc w:val="center"/>
      <w:rPr>
        <w:rStyle w:val="35"/>
        <w:sz w:val="24"/>
        <w:szCs w:val="24"/>
      </w:rPr>
    </w:pPr>
    <w:r>
      <w:rPr>
        <w:rStyle w:val="35"/>
        <w:sz w:val="24"/>
        <w:szCs w:val="24"/>
      </w:rPr>
      <w:t xml:space="preserve">— </w:t>
    </w:r>
    <w:r>
      <w:rPr>
        <w:rStyle w:val="35"/>
        <w:sz w:val="24"/>
        <w:szCs w:val="24"/>
      </w:rPr>
      <w:fldChar w:fldCharType="begin"/>
    </w:r>
    <w:r>
      <w:rPr>
        <w:rStyle w:val="35"/>
        <w:sz w:val="24"/>
        <w:szCs w:val="24"/>
      </w:rPr>
      <w:instrText xml:space="preserve">PAGE  </w:instrText>
    </w:r>
    <w:r>
      <w:rPr>
        <w:rStyle w:val="35"/>
        <w:sz w:val="24"/>
        <w:szCs w:val="24"/>
      </w:rPr>
      <w:fldChar w:fldCharType="separate"/>
    </w:r>
    <w:r>
      <w:rPr>
        <w:rStyle w:val="35"/>
        <w:sz w:val="24"/>
        <w:szCs w:val="24"/>
      </w:rPr>
      <w:t>1</w:t>
    </w:r>
    <w:r>
      <w:rPr>
        <w:rStyle w:val="35"/>
        <w:sz w:val="24"/>
        <w:szCs w:val="24"/>
      </w:rPr>
      <w:fldChar w:fldCharType="end"/>
    </w:r>
    <w:r>
      <w:rPr>
        <w:rStyle w:val="35"/>
        <w:sz w:val="24"/>
        <w:szCs w:val="24"/>
      </w:rPr>
      <w:t xml:space="preserve"> —</w:t>
    </w:r>
  </w:p>
  <w:p>
    <w:pPr>
      <w:pStyle w:val="17"/>
      <w:jc w:val="center"/>
    </w:pPr>
  </w:p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center" w:y="1"/>
      <w:rPr>
        <w:rStyle w:val="35"/>
      </w:rPr>
    </w:pPr>
    <w:r>
      <w:rPr>
        <w:rStyle w:val="35"/>
      </w:rPr>
      <w:fldChar w:fldCharType="begin"/>
    </w:r>
    <w:r>
      <w:rPr>
        <w:rStyle w:val="35"/>
      </w:rPr>
      <w:instrText xml:space="preserve">PAGE  </w:instrText>
    </w:r>
    <w:r>
      <w:rPr>
        <w:rStyle w:val="35"/>
      </w:rPr>
      <w:fldChar w:fldCharType="end"/>
    </w:r>
  </w:p>
  <w:p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center" w:y="1"/>
      <w:jc w:val="center"/>
      <w:rPr>
        <w:rStyle w:val="35"/>
        <w:sz w:val="24"/>
        <w:szCs w:val="24"/>
      </w:rPr>
    </w:pPr>
    <w:r>
      <w:rPr>
        <w:rStyle w:val="35"/>
        <w:sz w:val="24"/>
        <w:szCs w:val="24"/>
      </w:rPr>
      <w:t xml:space="preserve">— </w:t>
    </w:r>
    <w:r>
      <w:rPr>
        <w:rStyle w:val="35"/>
        <w:sz w:val="24"/>
        <w:szCs w:val="24"/>
      </w:rPr>
      <w:fldChar w:fldCharType="begin"/>
    </w:r>
    <w:r>
      <w:rPr>
        <w:rStyle w:val="35"/>
        <w:sz w:val="24"/>
        <w:szCs w:val="24"/>
      </w:rPr>
      <w:instrText xml:space="preserve">PAGE  </w:instrText>
    </w:r>
    <w:r>
      <w:rPr>
        <w:rStyle w:val="35"/>
        <w:sz w:val="24"/>
        <w:szCs w:val="24"/>
      </w:rPr>
      <w:fldChar w:fldCharType="separate"/>
    </w:r>
    <w:r>
      <w:rPr>
        <w:rStyle w:val="35"/>
        <w:sz w:val="24"/>
        <w:szCs w:val="24"/>
      </w:rPr>
      <w:t>9</w:t>
    </w:r>
    <w:r>
      <w:rPr>
        <w:rStyle w:val="35"/>
        <w:sz w:val="24"/>
        <w:szCs w:val="24"/>
      </w:rPr>
      <w:fldChar w:fldCharType="end"/>
    </w:r>
    <w:r>
      <w:rPr>
        <w:rStyle w:val="35"/>
        <w:sz w:val="24"/>
        <w:szCs w:val="24"/>
      </w:rPr>
      <w:t xml:space="preserve"> —</w:t>
    </w:r>
  </w:p>
  <w:p>
    <w:pPr>
      <w:pStyle w:val="17"/>
      <w:jc w:val="center"/>
    </w:pPr>
  </w:p>
  <w:p>
    <w:pPr>
      <w:pStyle w:val="1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center" w:y="1"/>
      <w:rPr>
        <w:rStyle w:val="35"/>
      </w:rPr>
    </w:pPr>
    <w:r>
      <w:rPr>
        <w:rStyle w:val="35"/>
      </w:rPr>
      <w:fldChar w:fldCharType="begin"/>
    </w:r>
    <w:r>
      <w:rPr>
        <w:rStyle w:val="35"/>
      </w:rPr>
      <w:instrText xml:space="preserve">PAGE  </w:instrText>
    </w:r>
    <w:r>
      <w:rPr>
        <w:rStyle w:val="35"/>
      </w:rPr>
      <w:fldChar w:fldCharType="end"/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snapToGrid w:val="0"/>
      <w:spacing w:before="120" w:beforeLines="50" w:afterLines="50"/>
      <w:jc w:val="right"/>
      <w:rPr>
        <w:sz w:val="22"/>
      </w:rPr>
    </w:pPr>
    <w:r>
      <w:rPr>
        <w:rStyle w:val="95"/>
        <w:rFonts w:hint="eastAsia" w:asciiTheme="minorEastAsia" w:hAnsiTheme="minorEastAsia" w:eastAsiaTheme="minorEastAsia"/>
        <w:b/>
        <w:bCs/>
        <w:sz w:val="21"/>
        <w:szCs w:val="28"/>
      </w:rPr>
      <w:t>20</w:t>
    </w:r>
    <w:r>
      <w:rPr>
        <w:rStyle w:val="95"/>
        <w:rFonts w:hint="eastAsia" w:asciiTheme="minorEastAsia" w:hAnsiTheme="minorEastAsia" w:eastAsiaTheme="minorEastAsia"/>
        <w:b/>
        <w:bCs/>
        <w:sz w:val="21"/>
        <w:szCs w:val="28"/>
        <w:lang w:val="en-US" w:eastAsia="zh-CN"/>
      </w:rPr>
      <w:t>20</w:t>
    </w:r>
    <w:r>
      <w:rPr>
        <w:rStyle w:val="95"/>
        <w:rFonts w:hint="eastAsia" w:asciiTheme="minorEastAsia" w:hAnsiTheme="minorEastAsia" w:eastAsiaTheme="minorEastAsia"/>
        <w:b/>
        <w:bCs/>
        <w:sz w:val="21"/>
        <w:szCs w:val="28"/>
      </w:rPr>
      <w:t>年</w:t>
    </w:r>
    <w:r>
      <w:rPr>
        <w:rStyle w:val="95"/>
        <w:rFonts w:hint="eastAsia" w:asciiTheme="minorEastAsia" w:hAnsiTheme="minorEastAsia" w:eastAsiaTheme="minorEastAsia"/>
        <w:b/>
        <w:bCs/>
        <w:sz w:val="21"/>
        <w:szCs w:val="28"/>
        <w:lang w:val="en-US" w:eastAsia="zh-CN"/>
      </w:rPr>
      <w:t>2</w:t>
    </w:r>
    <w:r>
      <w:rPr>
        <w:rStyle w:val="95"/>
        <w:rFonts w:hint="eastAsia" w:asciiTheme="minorEastAsia" w:hAnsiTheme="minorEastAsia" w:eastAsiaTheme="minorEastAsia"/>
        <w:b/>
        <w:bCs/>
        <w:sz w:val="21"/>
        <w:szCs w:val="28"/>
      </w:rPr>
      <w:t>月质量月报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73"/>
    <w:rsid w:val="0000204C"/>
    <w:rsid w:val="00003148"/>
    <w:rsid w:val="000033DF"/>
    <w:rsid w:val="000034EA"/>
    <w:rsid w:val="0000594F"/>
    <w:rsid w:val="00005A3B"/>
    <w:rsid w:val="00005A87"/>
    <w:rsid w:val="00006AC9"/>
    <w:rsid w:val="0000726E"/>
    <w:rsid w:val="0000728F"/>
    <w:rsid w:val="00007DA2"/>
    <w:rsid w:val="00010427"/>
    <w:rsid w:val="00010A86"/>
    <w:rsid w:val="00011A51"/>
    <w:rsid w:val="0001288B"/>
    <w:rsid w:val="00012A8A"/>
    <w:rsid w:val="00012BDB"/>
    <w:rsid w:val="00013552"/>
    <w:rsid w:val="00014068"/>
    <w:rsid w:val="00015FE1"/>
    <w:rsid w:val="0001616A"/>
    <w:rsid w:val="000164E3"/>
    <w:rsid w:val="0001652E"/>
    <w:rsid w:val="00017180"/>
    <w:rsid w:val="00020258"/>
    <w:rsid w:val="000208F0"/>
    <w:rsid w:val="00020E22"/>
    <w:rsid w:val="00022898"/>
    <w:rsid w:val="0002300C"/>
    <w:rsid w:val="00023293"/>
    <w:rsid w:val="00023E3E"/>
    <w:rsid w:val="00024308"/>
    <w:rsid w:val="00024491"/>
    <w:rsid w:val="00024952"/>
    <w:rsid w:val="00025C5D"/>
    <w:rsid w:val="000265C0"/>
    <w:rsid w:val="0002750A"/>
    <w:rsid w:val="0002785B"/>
    <w:rsid w:val="000304E6"/>
    <w:rsid w:val="00030E5B"/>
    <w:rsid w:val="0003104D"/>
    <w:rsid w:val="000315A8"/>
    <w:rsid w:val="00031B45"/>
    <w:rsid w:val="00032907"/>
    <w:rsid w:val="00032C9D"/>
    <w:rsid w:val="0003315B"/>
    <w:rsid w:val="000338CF"/>
    <w:rsid w:val="00034849"/>
    <w:rsid w:val="00034D25"/>
    <w:rsid w:val="00034D68"/>
    <w:rsid w:val="00035114"/>
    <w:rsid w:val="00035CC9"/>
    <w:rsid w:val="0003616D"/>
    <w:rsid w:val="00036767"/>
    <w:rsid w:val="00036A19"/>
    <w:rsid w:val="00036B37"/>
    <w:rsid w:val="00037023"/>
    <w:rsid w:val="00037CE8"/>
    <w:rsid w:val="00040CCA"/>
    <w:rsid w:val="00042D2A"/>
    <w:rsid w:val="00043F67"/>
    <w:rsid w:val="00044794"/>
    <w:rsid w:val="00045EDC"/>
    <w:rsid w:val="0004651F"/>
    <w:rsid w:val="00046D21"/>
    <w:rsid w:val="00046F93"/>
    <w:rsid w:val="00047100"/>
    <w:rsid w:val="00047287"/>
    <w:rsid w:val="0004775C"/>
    <w:rsid w:val="000479CE"/>
    <w:rsid w:val="00047A86"/>
    <w:rsid w:val="00047AB5"/>
    <w:rsid w:val="00047AC4"/>
    <w:rsid w:val="00047D6A"/>
    <w:rsid w:val="000501E9"/>
    <w:rsid w:val="000503BB"/>
    <w:rsid w:val="00051D09"/>
    <w:rsid w:val="000523D8"/>
    <w:rsid w:val="00052FD9"/>
    <w:rsid w:val="000530A8"/>
    <w:rsid w:val="00054008"/>
    <w:rsid w:val="000542E1"/>
    <w:rsid w:val="000553A1"/>
    <w:rsid w:val="000567A6"/>
    <w:rsid w:val="00056C95"/>
    <w:rsid w:val="00057618"/>
    <w:rsid w:val="00057D53"/>
    <w:rsid w:val="0006097C"/>
    <w:rsid w:val="0006165A"/>
    <w:rsid w:val="000619C5"/>
    <w:rsid w:val="00061AC7"/>
    <w:rsid w:val="000632E0"/>
    <w:rsid w:val="00063E13"/>
    <w:rsid w:val="000648D3"/>
    <w:rsid w:val="00064AB0"/>
    <w:rsid w:val="000655EA"/>
    <w:rsid w:val="000662EE"/>
    <w:rsid w:val="00066AA3"/>
    <w:rsid w:val="00070763"/>
    <w:rsid w:val="00070C4B"/>
    <w:rsid w:val="00071840"/>
    <w:rsid w:val="00072522"/>
    <w:rsid w:val="00072C5D"/>
    <w:rsid w:val="0007307A"/>
    <w:rsid w:val="00073EBB"/>
    <w:rsid w:val="000759B5"/>
    <w:rsid w:val="00076418"/>
    <w:rsid w:val="000772D6"/>
    <w:rsid w:val="00080A7D"/>
    <w:rsid w:val="00083384"/>
    <w:rsid w:val="00083AC4"/>
    <w:rsid w:val="00085561"/>
    <w:rsid w:val="00085896"/>
    <w:rsid w:val="000859F0"/>
    <w:rsid w:val="0008620C"/>
    <w:rsid w:val="00086600"/>
    <w:rsid w:val="000873E4"/>
    <w:rsid w:val="000879B2"/>
    <w:rsid w:val="00090A8C"/>
    <w:rsid w:val="00091DC1"/>
    <w:rsid w:val="000923B1"/>
    <w:rsid w:val="00092711"/>
    <w:rsid w:val="0009322E"/>
    <w:rsid w:val="00095364"/>
    <w:rsid w:val="0009540E"/>
    <w:rsid w:val="00095800"/>
    <w:rsid w:val="00095950"/>
    <w:rsid w:val="000969D9"/>
    <w:rsid w:val="00096A92"/>
    <w:rsid w:val="0009748A"/>
    <w:rsid w:val="000A01F8"/>
    <w:rsid w:val="000A0CB6"/>
    <w:rsid w:val="000A1125"/>
    <w:rsid w:val="000A112A"/>
    <w:rsid w:val="000A121E"/>
    <w:rsid w:val="000A257D"/>
    <w:rsid w:val="000A2CE7"/>
    <w:rsid w:val="000A496D"/>
    <w:rsid w:val="000A4CF5"/>
    <w:rsid w:val="000A4DE1"/>
    <w:rsid w:val="000A540A"/>
    <w:rsid w:val="000A6181"/>
    <w:rsid w:val="000A6D5B"/>
    <w:rsid w:val="000A7945"/>
    <w:rsid w:val="000A79A4"/>
    <w:rsid w:val="000B0641"/>
    <w:rsid w:val="000B0FA6"/>
    <w:rsid w:val="000B1135"/>
    <w:rsid w:val="000B15BA"/>
    <w:rsid w:val="000B168C"/>
    <w:rsid w:val="000B305F"/>
    <w:rsid w:val="000B375D"/>
    <w:rsid w:val="000B464B"/>
    <w:rsid w:val="000B4E07"/>
    <w:rsid w:val="000B4E72"/>
    <w:rsid w:val="000B4FD9"/>
    <w:rsid w:val="000B60D9"/>
    <w:rsid w:val="000B6DAF"/>
    <w:rsid w:val="000B7178"/>
    <w:rsid w:val="000C120D"/>
    <w:rsid w:val="000C14E9"/>
    <w:rsid w:val="000C1515"/>
    <w:rsid w:val="000C1595"/>
    <w:rsid w:val="000C1AE0"/>
    <w:rsid w:val="000C1B48"/>
    <w:rsid w:val="000C25C1"/>
    <w:rsid w:val="000C2BD7"/>
    <w:rsid w:val="000C3924"/>
    <w:rsid w:val="000C3E5D"/>
    <w:rsid w:val="000C4A25"/>
    <w:rsid w:val="000C5D98"/>
    <w:rsid w:val="000C64C4"/>
    <w:rsid w:val="000C677B"/>
    <w:rsid w:val="000C6993"/>
    <w:rsid w:val="000C6A00"/>
    <w:rsid w:val="000C6CF3"/>
    <w:rsid w:val="000C763B"/>
    <w:rsid w:val="000D0AF3"/>
    <w:rsid w:val="000D171A"/>
    <w:rsid w:val="000D267E"/>
    <w:rsid w:val="000D3E1A"/>
    <w:rsid w:val="000D429B"/>
    <w:rsid w:val="000D430D"/>
    <w:rsid w:val="000D50D8"/>
    <w:rsid w:val="000D5A3D"/>
    <w:rsid w:val="000D6101"/>
    <w:rsid w:val="000D6D1D"/>
    <w:rsid w:val="000D7222"/>
    <w:rsid w:val="000D7CFD"/>
    <w:rsid w:val="000E0889"/>
    <w:rsid w:val="000E11D3"/>
    <w:rsid w:val="000E3FB8"/>
    <w:rsid w:val="000E5A40"/>
    <w:rsid w:val="000E5DD0"/>
    <w:rsid w:val="000F0638"/>
    <w:rsid w:val="000F13DE"/>
    <w:rsid w:val="000F2161"/>
    <w:rsid w:val="000F3532"/>
    <w:rsid w:val="000F35DA"/>
    <w:rsid w:val="000F459F"/>
    <w:rsid w:val="00100414"/>
    <w:rsid w:val="00101F3B"/>
    <w:rsid w:val="00102098"/>
    <w:rsid w:val="00102937"/>
    <w:rsid w:val="00103EE8"/>
    <w:rsid w:val="00104754"/>
    <w:rsid w:val="00104E70"/>
    <w:rsid w:val="00104FC3"/>
    <w:rsid w:val="0010589A"/>
    <w:rsid w:val="00105ACA"/>
    <w:rsid w:val="00106A19"/>
    <w:rsid w:val="00106D19"/>
    <w:rsid w:val="0010792A"/>
    <w:rsid w:val="001101BD"/>
    <w:rsid w:val="0011051E"/>
    <w:rsid w:val="00112119"/>
    <w:rsid w:val="00112573"/>
    <w:rsid w:val="0011290F"/>
    <w:rsid w:val="00113913"/>
    <w:rsid w:val="0011394A"/>
    <w:rsid w:val="00115170"/>
    <w:rsid w:val="00115B6E"/>
    <w:rsid w:val="001167B4"/>
    <w:rsid w:val="001179D8"/>
    <w:rsid w:val="00117D16"/>
    <w:rsid w:val="00120947"/>
    <w:rsid w:val="00120D4C"/>
    <w:rsid w:val="00121E58"/>
    <w:rsid w:val="00121EA2"/>
    <w:rsid w:val="00122AAE"/>
    <w:rsid w:val="00122FB4"/>
    <w:rsid w:val="00124D66"/>
    <w:rsid w:val="0012583D"/>
    <w:rsid w:val="001261CD"/>
    <w:rsid w:val="001261DB"/>
    <w:rsid w:val="0012692A"/>
    <w:rsid w:val="001273F4"/>
    <w:rsid w:val="00127557"/>
    <w:rsid w:val="00130A7C"/>
    <w:rsid w:val="00130DE0"/>
    <w:rsid w:val="0013191A"/>
    <w:rsid w:val="00131DC1"/>
    <w:rsid w:val="00132B55"/>
    <w:rsid w:val="00134226"/>
    <w:rsid w:val="00134DB4"/>
    <w:rsid w:val="0013650E"/>
    <w:rsid w:val="0013732A"/>
    <w:rsid w:val="001426EA"/>
    <w:rsid w:val="00142B53"/>
    <w:rsid w:val="00143B75"/>
    <w:rsid w:val="001441C5"/>
    <w:rsid w:val="0014621C"/>
    <w:rsid w:val="0014661C"/>
    <w:rsid w:val="00146E73"/>
    <w:rsid w:val="001512E6"/>
    <w:rsid w:val="00151314"/>
    <w:rsid w:val="00151B6A"/>
    <w:rsid w:val="001524FE"/>
    <w:rsid w:val="00152627"/>
    <w:rsid w:val="00154AA4"/>
    <w:rsid w:val="0015521B"/>
    <w:rsid w:val="00155DEC"/>
    <w:rsid w:val="0015684A"/>
    <w:rsid w:val="00157937"/>
    <w:rsid w:val="0015797F"/>
    <w:rsid w:val="001608BF"/>
    <w:rsid w:val="00160F90"/>
    <w:rsid w:val="00161A71"/>
    <w:rsid w:val="00161ABD"/>
    <w:rsid w:val="0016290B"/>
    <w:rsid w:val="001633F6"/>
    <w:rsid w:val="0016415F"/>
    <w:rsid w:val="00164441"/>
    <w:rsid w:val="001655EB"/>
    <w:rsid w:val="00165CEF"/>
    <w:rsid w:val="0016659A"/>
    <w:rsid w:val="0016694D"/>
    <w:rsid w:val="00166E17"/>
    <w:rsid w:val="00167373"/>
    <w:rsid w:val="00167738"/>
    <w:rsid w:val="00170C9D"/>
    <w:rsid w:val="00171193"/>
    <w:rsid w:val="001717BB"/>
    <w:rsid w:val="001719BD"/>
    <w:rsid w:val="00173870"/>
    <w:rsid w:val="001751B5"/>
    <w:rsid w:val="001763B6"/>
    <w:rsid w:val="0018024E"/>
    <w:rsid w:val="001802B0"/>
    <w:rsid w:val="00180D7C"/>
    <w:rsid w:val="00181122"/>
    <w:rsid w:val="00181C22"/>
    <w:rsid w:val="001821E3"/>
    <w:rsid w:val="001831D2"/>
    <w:rsid w:val="00183623"/>
    <w:rsid w:val="00183C4A"/>
    <w:rsid w:val="0018483E"/>
    <w:rsid w:val="0018518D"/>
    <w:rsid w:val="00185994"/>
    <w:rsid w:val="001865A3"/>
    <w:rsid w:val="001869A0"/>
    <w:rsid w:val="00187CAD"/>
    <w:rsid w:val="00190EBB"/>
    <w:rsid w:val="00191207"/>
    <w:rsid w:val="00194492"/>
    <w:rsid w:val="00195151"/>
    <w:rsid w:val="001957EE"/>
    <w:rsid w:val="00196A57"/>
    <w:rsid w:val="001971BF"/>
    <w:rsid w:val="00197768"/>
    <w:rsid w:val="001A1876"/>
    <w:rsid w:val="001A18C2"/>
    <w:rsid w:val="001A26FF"/>
    <w:rsid w:val="001A3DA9"/>
    <w:rsid w:val="001A4F74"/>
    <w:rsid w:val="001A5F4C"/>
    <w:rsid w:val="001A6B9D"/>
    <w:rsid w:val="001A7523"/>
    <w:rsid w:val="001B109D"/>
    <w:rsid w:val="001B1D10"/>
    <w:rsid w:val="001B27B0"/>
    <w:rsid w:val="001B2B8F"/>
    <w:rsid w:val="001B3362"/>
    <w:rsid w:val="001B3508"/>
    <w:rsid w:val="001B3647"/>
    <w:rsid w:val="001B3AAC"/>
    <w:rsid w:val="001B4F6D"/>
    <w:rsid w:val="001B68CA"/>
    <w:rsid w:val="001C12D6"/>
    <w:rsid w:val="001C1495"/>
    <w:rsid w:val="001C174E"/>
    <w:rsid w:val="001C19DF"/>
    <w:rsid w:val="001C21C7"/>
    <w:rsid w:val="001C3378"/>
    <w:rsid w:val="001C355A"/>
    <w:rsid w:val="001C374D"/>
    <w:rsid w:val="001C4000"/>
    <w:rsid w:val="001C4DAD"/>
    <w:rsid w:val="001C5C0B"/>
    <w:rsid w:val="001C64AD"/>
    <w:rsid w:val="001C6A93"/>
    <w:rsid w:val="001C7874"/>
    <w:rsid w:val="001D00CC"/>
    <w:rsid w:val="001D0503"/>
    <w:rsid w:val="001D0D2F"/>
    <w:rsid w:val="001D21EE"/>
    <w:rsid w:val="001D39A8"/>
    <w:rsid w:val="001D47BA"/>
    <w:rsid w:val="001D51E4"/>
    <w:rsid w:val="001D6631"/>
    <w:rsid w:val="001D7DEE"/>
    <w:rsid w:val="001E0479"/>
    <w:rsid w:val="001E1013"/>
    <w:rsid w:val="001E1303"/>
    <w:rsid w:val="001E1725"/>
    <w:rsid w:val="001E29DA"/>
    <w:rsid w:val="001E30A9"/>
    <w:rsid w:val="001E3B27"/>
    <w:rsid w:val="001E48E9"/>
    <w:rsid w:val="001E5A71"/>
    <w:rsid w:val="001E5EBC"/>
    <w:rsid w:val="001F11CD"/>
    <w:rsid w:val="001F1772"/>
    <w:rsid w:val="001F24EF"/>
    <w:rsid w:val="001F2F81"/>
    <w:rsid w:val="001F4C02"/>
    <w:rsid w:val="001F514C"/>
    <w:rsid w:val="001F5368"/>
    <w:rsid w:val="001F5D61"/>
    <w:rsid w:val="001F61E8"/>
    <w:rsid w:val="00200267"/>
    <w:rsid w:val="002015DF"/>
    <w:rsid w:val="00201835"/>
    <w:rsid w:val="00202C3D"/>
    <w:rsid w:val="002030AE"/>
    <w:rsid w:val="002031B9"/>
    <w:rsid w:val="00206697"/>
    <w:rsid w:val="002072FA"/>
    <w:rsid w:val="0021056C"/>
    <w:rsid w:val="00210642"/>
    <w:rsid w:val="00210931"/>
    <w:rsid w:val="00210CFA"/>
    <w:rsid w:val="0021140E"/>
    <w:rsid w:val="002125A3"/>
    <w:rsid w:val="00212C80"/>
    <w:rsid w:val="002147E4"/>
    <w:rsid w:val="0021593A"/>
    <w:rsid w:val="00215ED0"/>
    <w:rsid w:val="002162EC"/>
    <w:rsid w:val="002163B3"/>
    <w:rsid w:val="00216923"/>
    <w:rsid w:val="00216C1F"/>
    <w:rsid w:val="00217DD8"/>
    <w:rsid w:val="00220A16"/>
    <w:rsid w:val="00220E1E"/>
    <w:rsid w:val="002215F7"/>
    <w:rsid w:val="0022171D"/>
    <w:rsid w:val="00221916"/>
    <w:rsid w:val="002219C5"/>
    <w:rsid w:val="00221C77"/>
    <w:rsid w:val="00223436"/>
    <w:rsid w:val="00223966"/>
    <w:rsid w:val="002300A7"/>
    <w:rsid w:val="00230630"/>
    <w:rsid w:val="00231050"/>
    <w:rsid w:val="00231FF4"/>
    <w:rsid w:val="0023346C"/>
    <w:rsid w:val="00234196"/>
    <w:rsid w:val="002359AA"/>
    <w:rsid w:val="00235A2E"/>
    <w:rsid w:val="00236430"/>
    <w:rsid w:val="00236436"/>
    <w:rsid w:val="002364E8"/>
    <w:rsid w:val="00236BE6"/>
    <w:rsid w:val="002376AE"/>
    <w:rsid w:val="00237757"/>
    <w:rsid w:val="002401AD"/>
    <w:rsid w:val="0024213D"/>
    <w:rsid w:val="00242302"/>
    <w:rsid w:val="00243649"/>
    <w:rsid w:val="00243E43"/>
    <w:rsid w:val="002449CC"/>
    <w:rsid w:val="00244DBB"/>
    <w:rsid w:val="002463F7"/>
    <w:rsid w:val="002468FB"/>
    <w:rsid w:val="002471EF"/>
    <w:rsid w:val="002474D1"/>
    <w:rsid w:val="00252170"/>
    <w:rsid w:val="00252377"/>
    <w:rsid w:val="00253567"/>
    <w:rsid w:val="00254534"/>
    <w:rsid w:val="00255F0C"/>
    <w:rsid w:val="00256834"/>
    <w:rsid w:val="00256A3E"/>
    <w:rsid w:val="00256E0F"/>
    <w:rsid w:val="00256F7F"/>
    <w:rsid w:val="00257DF8"/>
    <w:rsid w:val="00262283"/>
    <w:rsid w:val="002625B1"/>
    <w:rsid w:val="002633AF"/>
    <w:rsid w:val="00266215"/>
    <w:rsid w:val="00266C8A"/>
    <w:rsid w:val="00266FA6"/>
    <w:rsid w:val="00267244"/>
    <w:rsid w:val="00267F71"/>
    <w:rsid w:val="0027020F"/>
    <w:rsid w:val="002706E7"/>
    <w:rsid w:val="0027096E"/>
    <w:rsid w:val="002728CF"/>
    <w:rsid w:val="00273119"/>
    <w:rsid w:val="0027487D"/>
    <w:rsid w:val="002748DB"/>
    <w:rsid w:val="00275F90"/>
    <w:rsid w:val="00281322"/>
    <w:rsid w:val="00281579"/>
    <w:rsid w:val="00282F4F"/>
    <w:rsid w:val="00283006"/>
    <w:rsid w:val="00283512"/>
    <w:rsid w:val="002844CF"/>
    <w:rsid w:val="002860D3"/>
    <w:rsid w:val="00286681"/>
    <w:rsid w:val="00287550"/>
    <w:rsid w:val="00287B36"/>
    <w:rsid w:val="0029136C"/>
    <w:rsid w:val="00292EE8"/>
    <w:rsid w:val="00293584"/>
    <w:rsid w:val="00293DB0"/>
    <w:rsid w:val="00294176"/>
    <w:rsid w:val="002946CE"/>
    <w:rsid w:val="002950C0"/>
    <w:rsid w:val="002953F2"/>
    <w:rsid w:val="00295FBC"/>
    <w:rsid w:val="0029627B"/>
    <w:rsid w:val="00296B28"/>
    <w:rsid w:val="0029742F"/>
    <w:rsid w:val="002A06EE"/>
    <w:rsid w:val="002A07FF"/>
    <w:rsid w:val="002A0ADD"/>
    <w:rsid w:val="002A0D7F"/>
    <w:rsid w:val="002A19B2"/>
    <w:rsid w:val="002A285A"/>
    <w:rsid w:val="002A34F6"/>
    <w:rsid w:val="002A44CB"/>
    <w:rsid w:val="002A46BF"/>
    <w:rsid w:val="002A4FBC"/>
    <w:rsid w:val="002A50D6"/>
    <w:rsid w:val="002A5F79"/>
    <w:rsid w:val="002B0F7A"/>
    <w:rsid w:val="002B1099"/>
    <w:rsid w:val="002B12D2"/>
    <w:rsid w:val="002B19BF"/>
    <w:rsid w:val="002B1C84"/>
    <w:rsid w:val="002B2B2A"/>
    <w:rsid w:val="002B4409"/>
    <w:rsid w:val="002B5805"/>
    <w:rsid w:val="002B7C94"/>
    <w:rsid w:val="002C16FB"/>
    <w:rsid w:val="002C1755"/>
    <w:rsid w:val="002C2960"/>
    <w:rsid w:val="002C35E6"/>
    <w:rsid w:val="002C3B6F"/>
    <w:rsid w:val="002C48AE"/>
    <w:rsid w:val="002C4B16"/>
    <w:rsid w:val="002C59C3"/>
    <w:rsid w:val="002C5A4E"/>
    <w:rsid w:val="002C64ED"/>
    <w:rsid w:val="002C6574"/>
    <w:rsid w:val="002C6726"/>
    <w:rsid w:val="002C70EE"/>
    <w:rsid w:val="002C7E8B"/>
    <w:rsid w:val="002D0AB9"/>
    <w:rsid w:val="002D1552"/>
    <w:rsid w:val="002D1A7C"/>
    <w:rsid w:val="002D1C42"/>
    <w:rsid w:val="002D2DA6"/>
    <w:rsid w:val="002D2E98"/>
    <w:rsid w:val="002D3C20"/>
    <w:rsid w:val="002D3C77"/>
    <w:rsid w:val="002D4A86"/>
    <w:rsid w:val="002D5158"/>
    <w:rsid w:val="002D5659"/>
    <w:rsid w:val="002D5CE0"/>
    <w:rsid w:val="002D6D63"/>
    <w:rsid w:val="002E1AB8"/>
    <w:rsid w:val="002E22B8"/>
    <w:rsid w:val="002E260B"/>
    <w:rsid w:val="002E28DF"/>
    <w:rsid w:val="002E2AD3"/>
    <w:rsid w:val="002E2F28"/>
    <w:rsid w:val="002E3E95"/>
    <w:rsid w:val="002E4720"/>
    <w:rsid w:val="002E5E7F"/>
    <w:rsid w:val="002E69DD"/>
    <w:rsid w:val="002E69FC"/>
    <w:rsid w:val="002F0780"/>
    <w:rsid w:val="002F1D25"/>
    <w:rsid w:val="002F3287"/>
    <w:rsid w:val="002F3870"/>
    <w:rsid w:val="002F4EB3"/>
    <w:rsid w:val="002F5612"/>
    <w:rsid w:val="002F5A9A"/>
    <w:rsid w:val="002F70F3"/>
    <w:rsid w:val="00300ADD"/>
    <w:rsid w:val="00301319"/>
    <w:rsid w:val="00301627"/>
    <w:rsid w:val="00302199"/>
    <w:rsid w:val="003021D4"/>
    <w:rsid w:val="00302D4C"/>
    <w:rsid w:val="003032E3"/>
    <w:rsid w:val="00303D6E"/>
    <w:rsid w:val="00303DBE"/>
    <w:rsid w:val="0030447E"/>
    <w:rsid w:val="003048F9"/>
    <w:rsid w:val="00306C31"/>
    <w:rsid w:val="00307013"/>
    <w:rsid w:val="00307BD4"/>
    <w:rsid w:val="003107E0"/>
    <w:rsid w:val="00310E0A"/>
    <w:rsid w:val="0031191C"/>
    <w:rsid w:val="00311D98"/>
    <w:rsid w:val="00312230"/>
    <w:rsid w:val="00312FDE"/>
    <w:rsid w:val="00313212"/>
    <w:rsid w:val="00314313"/>
    <w:rsid w:val="00316954"/>
    <w:rsid w:val="00317B18"/>
    <w:rsid w:val="00317F3F"/>
    <w:rsid w:val="00320172"/>
    <w:rsid w:val="00320C2B"/>
    <w:rsid w:val="003212FD"/>
    <w:rsid w:val="00321589"/>
    <w:rsid w:val="00321762"/>
    <w:rsid w:val="00321F24"/>
    <w:rsid w:val="00322728"/>
    <w:rsid w:val="00322DBE"/>
    <w:rsid w:val="00323983"/>
    <w:rsid w:val="003245BB"/>
    <w:rsid w:val="00324F5A"/>
    <w:rsid w:val="0032551C"/>
    <w:rsid w:val="00326D07"/>
    <w:rsid w:val="00326FDD"/>
    <w:rsid w:val="00326FEC"/>
    <w:rsid w:val="0033047A"/>
    <w:rsid w:val="003313FE"/>
    <w:rsid w:val="003327B9"/>
    <w:rsid w:val="00332A57"/>
    <w:rsid w:val="00333730"/>
    <w:rsid w:val="00333801"/>
    <w:rsid w:val="00334610"/>
    <w:rsid w:val="00334ADC"/>
    <w:rsid w:val="00334D0A"/>
    <w:rsid w:val="00334D68"/>
    <w:rsid w:val="00335605"/>
    <w:rsid w:val="00335891"/>
    <w:rsid w:val="003359B3"/>
    <w:rsid w:val="00335B30"/>
    <w:rsid w:val="00337988"/>
    <w:rsid w:val="00337A68"/>
    <w:rsid w:val="00340740"/>
    <w:rsid w:val="0034205A"/>
    <w:rsid w:val="003428B1"/>
    <w:rsid w:val="00343B18"/>
    <w:rsid w:val="003443E8"/>
    <w:rsid w:val="003444A7"/>
    <w:rsid w:val="00344745"/>
    <w:rsid w:val="00345158"/>
    <w:rsid w:val="00345B22"/>
    <w:rsid w:val="00345BAE"/>
    <w:rsid w:val="003467E3"/>
    <w:rsid w:val="00346895"/>
    <w:rsid w:val="00347CE2"/>
    <w:rsid w:val="0035024F"/>
    <w:rsid w:val="003504D9"/>
    <w:rsid w:val="00352E25"/>
    <w:rsid w:val="00352FF6"/>
    <w:rsid w:val="003535CC"/>
    <w:rsid w:val="00353C25"/>
    <w:rsid w:val="00354407"/>
    <w:rsid w:val="00354C0C"/>
    <w:rsid w:val="00355A50"/>
    <w:rsid w:val="00355CBD"/>
    <w:rsid w:val="00355DCD"/>
    <w:rsid w:val="003561E6"/>
    <w:rsid w:val="00357375"/>
    <w:rsid w:val="00360ADE"/>
    <w:rsid w:val="00360D16"/>
    <w:rsid w:val="00360D63"/>
    <w:rsid w:val="00362621"/>
    <w:rsid w:val="00362E52"/>
    <w:rsid w:val="00364878"/>
    <w:rsid w:val="00364BBA"/>
    <w:rsid w:val="003656DA"/>
    <w:rsid w:val="00366612"/>
    <w:rsid w:val="00366C34"/>
    <w:rsid w:val="0036780C"/>
    <w:rsid w:val="00367C29"/>
    <w:rsid w:val="003709AC"/>
    <w:rsid w:val="003716BC"/>
    <w:rsid w:val="00372031"/>
    <w:rsid w:val="003721FD"/>
    <w:rsid w:val="0037345B"/>
    <w:rsid w:val="003749F3"/>
    <w:rsid w:val="0037603A"/>
    <w:rsid w:val="003773C6"/>
    <w:rsid w:val="0037795C"/>
    <w:rsid w:val="00377AD6"/>
    <w:rsid w:val="00377EC5"/>
    <w:rsid w:val="0038028F"/>
    <w:rsid w:val="0038059F"/>
    <w:rsid w:val="0038226B"/>
    <w:rsid w:val="0038299B"/>
    <w:rsid w:val="00382E18"/>
    <w:rsid w:val="003848AE"/>
    <w:rsid w:val="003862F4"/>
    <w:rsid w:val="00387CB0"/>
    <w:rsid w:val="00387CD5"/>
    <w:rsid w:val="00390717"/>
    <w:rsid w:val="00391971"/>
    <w:rsid w:val="00391A2B"/>
    <w:rsid w:val="00392AAF"/>
    <w:rsid w:val="00393865"/>
    <w:rsid w:val="00393C08"/>
    <w:rsid w:val="00393CFC"/>
    <w:rsid w:val="00396828"/>
    <w:rsid w:val="00396CC7"/>
    <w:rsid w:val="0039785F"/>
    <w:rsid w:val="00397FD7"/>
    <w:rsid w:val="003A0A90"/>
    <w:rsid w:val="003A2302"/>
    <w:rsid w:val="003A2EA3"/>
    <w:rsid w:val="003A2EF2"/>
    <w:rsid w:val="003A357E"/>
    <w:rsid w:val="003A36A1"/>
    <w:rsid w:val="003A3E07"/>
    <w:rsid w:val="003A472E"/>
    <w:rsid w:val="003A5031"/>
    <w:rsid w:val="003A6D91"/>
    <w:rsid w:val="003A72FB"/>
    <w:rsid w:val="003A75F9"/>
    <w:rsid w:val="003B0AAA"/>
    <w:rsid w:val="003B190E"/>
    <w:rsid w:val="003B26BF"/>
    <w:rsid w:val="003B2FA8"/>
    <w:rsid w:val="003B421D"/>
    <w:rsid w:val="003B42FE"/>
    <w:rsid w:val="003B5832"/>
    <w:rsid w:val="003B6D27"/>
    <w:rsid w:val="003B6E00"/>
    <w:rsid w:val="003B7908"/>
    <w:rsid w:val="003B7C78"/>
    <w:rsid w:val="003C0102"/>
    <w:rsid w:val="003C01D5"/>
    <w:rsid w:val="003C049B"/>
    <w:rsid w:val="003C1138"/>
    <w:rsid w:val="003C2039"/>
    <w:rsid w:val="003C20F8"/>
    <w:rsid w:val="003C47B5"/>
    <w:rsid w:val="003C4BF7"/>
    <w:rsid w:val="003C503D"/>
    <w:rsid w:val="003C5176"/>
    <w:rsid w:val="003C5569"/>
    <w:rsid w:val="003C5584"/>
    <w:rsid w:val="003C6796"/>
    <w:rsid w:val="003C694C"/>
    <w:rsid w:val="003C6A85"/>
    <w:rsid w:val="003C75FA"/>
    <w:rsid w:val="003C7B86"/>
    <w:rsid w:val="003D1645"/>
    <w:rsid w:val="003D21F9"/>
    <w:rsid w:val="003D2754"/>
    <w:rsid w:val="003D2A54"/>
    <w:rsid w:val="003D3314"/>
    <w:rsid w:val="003D39EB"/>
    <w:rsid w:val="003D4D6C"/>
    <w:rsid w:val="003D58A5"/>
    <w:rsid w:val="003D5F2C"/>
    <w:rsid w:val="003D6B65"/>
    <w:rsid w:val="003E008B"/>
    <w:rsid w:val="003E0395"/>
    <w:rsid w:val="003E1331"/>
    <w:rsid w:val="003E20B4"/>
    <w:rsid w:val="003E213D"/>
    <w:rsid w:val="003E37FA"/>
    <w:rsid w:val="003E4957"/>
    <w:rsid w:val="003E5409"/>
    <w:rsid w:val="003E5D44"/>
    <w:rsid w:val="003E610F"/>
    <w:rsid w:val="003E7BBC"/>
    <w:rsid w:val="003F011E"/>
    <w:rsid w:val="003F05F5"/>
    <w:rsid w:val="003F138E"/>
    <w:rsid w:val="003F1814"/>
    <w:rsid w:val="003F18AB"/>
    <w:rsid w:val="003F18E7"/>
    <w:rsid w:val="003F1C9C"/>
    <w:rsid w:val="003F2412"/>
    <w:rsid w:val="003F3703"/>
    <w:rsid w:val="003F3F06"/>
    <w:rsid w:val="003F4B00"/>
    <w:rsid w:val="003F5780"/>
    <w:rsid w:val="003F5B18"/>
    <w:rsid w:val="003F7C16"/>
    <w:rsid w:val="00400E5A"/>
    <w:rsid w:val="00401EC5"/>
    <w:rsid w:val="00402335"/>
    <w:rsid w:val="00403087"/>
    <w:rsid w:val="00405C4A"/>
    <w:rsid w:val="0040610E"/>
    <w:rsid w:val="0040677B"/>
    <w:rsid w:val="00411CED"/>
    <w:rsid w:val="00412F3C"/>
    <w:rsid w:val="004134B7"/>
    <w:rsid w:val="00413885"/>
    <w:rsid w:val="00413EFB"/>
    <w:rsid w:val="00414316"/>
    <w:rsid w:val="004143A4"/>
    <w:rsid w:val="0041533D"/>
    <w:rsid w:val="00415647"/>
    <w:rsid w:val="00415D46"/>
    <w:rsid w:val="00415F22"/>
    <w:rsid w:val="004171E1"/>
    <w:rsid w:val="0041743B"/>
    <w:rsid w:val="004177AD"/>
    <w:rsid w:val="004177B6"/>
    <w:rsid w:val="00417B3C"/>
    <w:rsid w:val="0042014D"/>
    <w:rsid w:val="004205BF"/>
    <w:rsid w:val="004207AB"/>
    <w:rsid w:val="00420D41"/>
    <w:rsid w:val="004219EF"/>
    <w:rsid w:val="00421F63"/>
    <w:rsid w:val="0042355B"/>
    <w:rsid w:val="00424AE9"/>
    <w:rsid w:val="004250E1"/>
    <w:rsid w:val="004252D1"/>
    <w:rsid w:val="00425B63"/>
    <w:rsid w:val="004270DF"/>
    <w:rsid w:val="00431CA6"/>
    <w:rsid w:val="00432C37"/>
    <w:rsid w:val="00432EEE"/>
    <w:rsid w:val="00432EF4"/>
    <w:rsid w:val="00433A62"/>
    <w:rsid w:val="0043468D"/>
    <w:rsid w:val="004348F1"/>
    <w:rsid w:val="004351B9"/>
    <w:rsid w:val="00436DCE"/>
    <w:rsid w:val="00437A0A"/>
    <w:rsid w:val="0044094B"/>
    <w:rsid w:val="00442522"/>
    <w:rsid w:val="00442A7A"/>
    <w:rsid w:val="00442AFF"/>
    <w:rsid w:val="00444048"/>
    <w:rsid w:val="00444147"/>
    <w:rsid w:val="00444579"/>
    <w:rsid w:val="00444E63"/>
    <w:rsid w:val="00445209"/>
    <w:rsid w:val="00445BC7"/>
    <w:rsid w:val="00446D8E"/>
    <w:rsid w:val="004472A9"/>
    <w:rsid w:val="004477BE"/>
    <w:rsid w:val="004507B3"/>
    <w:rsid w:val="00450B8D"/>
    <w:rsid w:val="0045302D"/>
    <w:rsid w:val="004531B6"/>
    <w:rsid w:val="00453862"/>
    <w:rsid w:val="00454BB7"/>
    <w:rsid w:val="0045502C"/>
    <w:rsid w:val="004562C7"/>
    <w:rsid w:val="00457CF5"/>
    <w:rsid w:val="00460919"/>
    <w:rsid w:val="00461F17"/>
    <w:rsid w:val="00462203"/>
    <w:rsid w:val="00462952"/>
    <w:rsid w:val="00463711"/>
    <w:rsid w:val="00463758"/>
    <w:rsid w:val="0046456F"/>
    <w:rsid w:val="00464793"/>
    <w:rsid w:val="00464973"/>
    <w:rsid w:val="00464BD0"/>
    <w:rsid w:val="004654AB"/>
    <w:rsid w:val="004657BF"/>
    <w:rsid w:val="004665AF"/>
    <w:rsid w:val="00466704"/>
    <w:rsid w:val="00466C1D"/>
    <w:rsid w:val="00466E3B"/>
    <w:rsid w:val="0046701B"/>
    <w:rsid w:val="004672D3"/>
    <w:rsid w:val="00467E73"/>
    <w:rsid w:val="00472A79"/>
    <w:rsid w:val="004733C0"/>
    <w:rsid w:val="004733CC"/>
    <w:rsid w:val="00473670"/>
    <w:rsid w:val="004741C1"/>
    <w:rsid w:val="00474C2D"/>
    <w:rsid w:val="00474DED"/>
    <w:rsid w:val="00475D59"/>
    <w:rsid w:val="00476676"/>
    <w:rsid w:val="004768DF"/>
    <w:rsid w:val="004769F7"/>
    <w:rsid w:val="00476F8F"/>
    <w:rsid w:val="00477180"/>
    <w:rsid w:val="00477C25"/>
    <w:rsid w:val="0048020D"/>
    <w:rsid w:val="00480927"/>
    <w:rsid w:val="00480DD1"/>
    <w:rsid w:val="00481358"/>
    <w:rsid w:val="004819E6"/>
    <w:rsid w:val="004826F5"/>
    <w:rsid w:val="004837C2"/>
    <w:rsid w:val="00483898"/>
    <w:rsid w:val="00483975"/>
    <w:rsid w:val="004846CC"/>
    <w:rsid w:val="00485361"/>
    <w:rsid w:val="0048594B"/>
    <w:rsid w:val="00486752"/>
    <w:rsid w:val="00486CB9"/>
    <w:rsid w:val="00486E2C"/>
    <w:rsid w:val="00487117"/>
    <w:rsid w:val="00490F66"/>
    <w:rsid w:val="004913B5"/>
    <w:rsid w:val="00492320"/>
    <w:rsid w:val="0049253C"/>
    <w:rsid w:val="00492F0E"/>
    <w:rsid w:val="004933D4"/>
    <w:rsid w:val="00493F8B"/>
    <w:rsid w:val="00494538"/>
    <w:rsid w:val="00496227"/>
    <w:rsid w:val="004962E3"/>
    <w:rsid w:val="00496AF0"/>
    <w:rsid w:val="00496D36"/>
    <w:rsid w:val="004A1067"/>
    <w:rsid w:val="004A140E"/>
    <w:rsid w:val="004A15C2"/>
    <w:rsid w:val="004A1DA8"/>
    <w:rsid w:val="004A35A4"/>
    <w:rsid w:val="004A35DD"/>
    <w:rsid w:val="004A4E9A"/>
    <w:rsid w:val="004B0221"/>
    <w:rsid w:val="004B060A"/>
    <w:rsid w:val="004B0771"/>
    <w:rsid w:val="004B1005"/>
    <w:rsid w:val="004B1DC0"/>
    <w:rsid w:val="004B22FA"/>
    <w:rsid w:val="004B2ACF"/>
    <w:rsid w:val="004B3CC5"/>
    <w:rsid w:val="004B3E88"/>
    <w:rsid w:val="004B7776"/>
    <w:rsid w:val="004B77D7"/>
    <w:rsid w:val="004B7F12"/>
    <w:rsid w:val="004C0920"/>
    <w:rsid w:val="004C0B67"/>
    <w:rsid w:val="004C31D2"/>
    <w:rsid w:val="004C48EF"/>
    <w:rsid w:val="004C6265"/>
    <w:rsid w:val="004C63CD"/>
    <w:rsid w:val="004C6EB2"/>
    <w:rsid w:val="004C6EE5"/>
    <w:rsid w:val="004D0CDB"/>
    <w:rsid w:val="004D1B5E"/>
    <w:rsid w:val="004D1F58"/>
    <w:rsid w:val="004D3309"/>
    <w:rsid w:val="004D5AB0"/>
    <w:rsid w:val="004D6102"/>
    <w:rsid w:val="004D7AC2"/>
    <w:rsid w:val="004D7D3B"/>
    <w:rsid w:val="004E0F5D"/>
    <w:rsid w:val="004E0FC0"/>
    <w:rsid w:val="004E2436"/>
    <w:rsid w:val="004E3251"/>
    <w:rsid w:val="004E55E1"/>
    <w:rsid w:val="004E5735"/>
    <w:rsid w:val="004E57DF"/>
    <w:rsid w:val="004E5D76"/>
    <w:rsid w:val="004E5E4F"/>
    <w:rsid w:val="004E73FB"/>
    <w:rsid w:val="004E7764"/>
    <w:rsid w:val="004E78B1"/>
    <w:rsid w:val="004F0542"/>
    <w:rsid w:val="004F0F8D"/>
    <w:rsid w:val="004F1EAD"/>
    <w:rsid w:val="004F3F6B"/>
    <w:rsid w:val="004F4113"/>
    <w:rsid w:val="004F4B0C"/>
    <w:rsid w:val="004F558D"/>
    <w:rsid w:val="004F56B1"/>
    <w:rsid w:val="004F6570"/>
    <w:rsid w:val="004F7DC2"/>
    <w:rsid w:val="00500375"/>
    <w:rsid w:val="00500EA4"/>
    <w:rsid w:val="0050176C"/>
    <w:rsid w:val="00501DFE"/>
    <w:rsid w:val="00502ACA"/>
    <w:rsid w:val="00502E11"/>
    <w:rsid w:val="00503560"/>
    <w:rsid w:val="00503C53"/>
    <w:rsid w:val="0050423F"/>
    <w:rsid w:val="005065E7"/>
    <w:rsid w:val="00507226"/>
    <w:rsid w:val="00510EEB"/>
    <w:rsid w:val="00512536"/>
    <w:rsid w:val="00514720"/>
    <w:rsid w:val="00514791"/>
    <w:rsid w:val="005154A5"/>
    <w:rsid w:val="00517229"/>
    <w:rsid w:val="005175EB"/>
    <w:rsid w:val="005200B8"/>
    <w:rsid w:val="005208D9"/>
    <w:rsid w:val="0052125C"/>
    <w:rsid w:val="00521A9D"/>
    <w:rsid w:val="00522B1E"/>
    <w:rsid w:val="005232D3"/>
    <w:rsid w:val="00523816"/>
    <w:rsid w:val="00523E9C"/>
    <w:rsid w:val="00524056"/>
    <w:rsid w:val="00524939"/>
    <w:rsid w:val="005252E7"/>
    <w:rsid w:val="005257B8"/>
    <w:rsid w:val="00525921"/>
    <w:rsid w:val="00525F76"/>
    <w:rsid w:val="0052605C"/>
    <w:rsid w:val="00526B56"/>
    <w:rsid w:val="00527053"/>
    <w:rsid w:val="005275FC"/>
    <w:rsid w:val="00527684"/>
    <w:rsid w:val="00527A29"/>
    <w:rsid w:val="005304DA"/>
    <w:rsid w:val="00531BBA"/>
    <w:rsid w:val="005329E0"/>
    <w:rsid w:val="00534686"/>
    <w:rsid w:val="0053525C"/>
    <w:rsid w:val="00535508"/>
    <w:rsid w:val="00535AF0"/>
    <w:rsid w:val="00535F00"/>
    <w:rsid w:val="00536E95"/>
    <w:rsid w:val="00540EC2"/>
    <w:rsid w:val="005418D5"/>
    <w:rsid w:val="00542E2B"/>
    <w:rsid w:val="0054323A"/>
    <w:rsid w:val="00544035"/>
    <w:rsid w:val="00544210"/>
    <w:rsid w:val="00544EBB"/>
    <w:rsid w:val="00550323"/>
    <w:rsid w:val="00550FEA"/>
    <w:rsid w:val="005511D6"/>
    <w:rsid w:val="0055191B"/>
    <w:rsid w:val="005539EA"/>
    <w:rsid w:val="00553FF8"/>
    <w:rsid w:val="005541E6"/>
    <w:rsid w:val="00554378"/>
    <w:rsid w:val="00554B33"/>
    <w:rsid w:val="005554B9"/>
    <w:rsid w:val="005555B8"/>
    <w:rsid w:val="005555BB"/>
    <w:rsid w:val="005558E9"/>
    <w:rsid w:val="0055596F"/>
    <w:rsid w:val="00555B2B"/>
    <w:rsid w:val="00556553"/>
    <w:rsid w:val="0056098E"/>
    <w:rsid w:val="00560D98"/>
    <w:rsid w:val="00562410"/>
    <w:rsid w:val="00563D26"/>
    <w:rsid w:val="00563DEE"/>
    <w:rsid w:val="005641F2"/>
    <w:rsid w:val="00564F63"/>
    <w:rsid w:val="00566D1C"/>
    <w:rsid w:val="00567482"/>
    <w:rsid w:val="005679A0"/>
    <w:rsid w:val="00570C91"/>
    <w:rsid w:val="00570D8B"/>
    <w:rsid w:val="00570FA8"/>
    <w:rsid w:val="00571153"/>
    <w:rsid w:val="005713E4"/>
    <w:rsid w:val="00571437"/>
    <w:rsid w:val="00574296"/>
    <w:rsid w:val="00574381"/>
    <w:rsid w:val="00574A42"/>
    <w:rsid w:val="00574B64"/>
    <w:rsid w:val="005753F8"/>
    <w:rsid w:val="00575FB8"/>
    <w:rsid w:val="00576849"/>
    <w:rsid w:val="005809C7"/>
    <w:rsid w:val="00581B5E"/>
    <w:rsid w:val="005820ED"/>
    <w:rsid w:val="00585937"/>
    <w:rsid w:val="00586012"/>
    <w:rsid w:val="00586187"/>
    <w:rsid w:val="00586F0C"/>
    <w:rsid w:val="005870DA"/>
    <w:rsid w:val="005903DF"/>
    <w:rsid w:val="00590EF9"/>
    <w:rsid w:val="00591F47"/>
    <w:rsid w:val="00592584"/>
    <w:rsid w:val="00592A00"/>
    <w:rsid w:val="00593473"/>
    <w:rsid w:val="0059384C"/>
    <w:rsid w:val="00593C5E"/>
    <w:rsid w:val="0059466F"/>
    <w:rsid w:val="00594C58"/>
    <w:rsid w:val="00595487"/>
    <w:rsid w:val="005966AD"/>
    <w:rsid w:val="00596EEE"/>
    <w:rsid w:val="0059735F"/>
    <w:rsid w:val="005974A2"/>
    <w:rsid w:val="00597AD1"/>
    <w:rsid w:val="005A09E7"/>
    <w:rsid w:val="005A0BC9"/>
    <w:rsid w:val="005A0CAC"/>
    <w:rsid w:val="005A1411"/>
    <w:rsid w:val="005A1A76"/>
    <w:rsid w:val="005A3E65"/>
    <w:rsid w:val="005A405E"/>
    <w:rsid w:val="005A493D"/>
    <w:rsid w:val="005A4F05"/>
    <w:rsid w:val="005A5255"/>
    <w:rsid w:val="005A6D31"/>
    <w:rsid w:val="005B021D"/>
    <w:rsid w:val="005B148C"/>
    <w:rsid w:val="005B1507"/>
    <w:rsid w:val="005B1E40"/>
    <w:rsid w:val="005B1EEF"/>
    <w:rsid w:val="005B22A7"/>
    <w:rsid w:val="005B489F"/>
    <w:rsid w:val="005B6516"/>
    <w:rsid w:val="005B71A7"/>
    <w:rsid w:val="005C03FD"/>
    <w:rsid w:val="005C05E0"/>
    <w:rsid w:val="005C2A41"/>
    <w:rsid w:val="005C2E18"/>
    <w:rsid w:val="005C418E"/>
    <w:rsid w:val="005C458E"/>
    <w:rsid w:val="005C51CA"/>
    <w:rsid w:val="005C5EDB"/>
    <w:rsid w:val="005C603D"/>
    <w:rsid w:val="005C6315"/>
    <w:rsid w:val="005C66EF"/>
    <w:rsid w:val="005C6798"/>
    <w:rsid w:val="005C6A09"/>
    <w:rsid w:val="005C722F"/>
    <w:rsid w:val="005D01DC"/>
    <w:rsid w:val="005D1A43"/>
    <w:rsid w:val="005D20A8"/>
    <w:rsid w:val="005D24F4"/>
    <w:rsid w:val="005D29FB"/>
    <w:rsid w:val="005D2DE3"/>
    <w:rsid w:val="005D2F12"/>
    <w:rsid w:val="005D3D91"/>
    <w:rsid w:val="005D4422"/>
    <w:rsid w:val="005D4A67"/>
    <w:rsid w:val="005D4B44"/>
    <w:rsid w:val="005D4CD4"/>
    <w:rsid w:val="005D59C2"/>
    <w:rsid w:val="005D726F"/>
    <w:rsid w:val="005E0D56"/>
    <w:rsid w:val="005E0F32"/>
    <w:rsid w:val="005E21B6"/>
    <w:rsid w:val="005E2497"/>
    <w:rsid w:val="005E3383"/>
    <w:rsid w:val="005E3F2A"/>
    <w:rsid w:val="005E3F36"/>
    <w:rsid w:val="005E4BEF"/>
    <w:rsid w:val="005E5BCA"/>
    <w:rsid w:val="005E6251"/>
    <w:rsid w:val="005E6CEE"/>
    <w:rsid w:val="005F0004"/>
    <w:rsid w:val="005F3968"/>
    <w:rsid w:val="005F39FE"/>
    <w:rsid w:val="005F3D3D"/>
    <w:rsid w:val="005F651A"/>
    <w:rsid w:val="005F6C58"/>
    <w:rsid w:val="005F71DC"/>
    <w:rsid w:val="005F7205"/>
    <w:rsid w:val="005F73AA"/>
    <w:rsid w:val="006001E5"/>
    <w:rsid w:val="00600DAE"/>
    <w:rsid w:val="0060129D"/>
    <w:rsid w:val="00601986"/>
    <w:rsid w:val="00603858"/>
    <w:rsid w:val="00606136"/>
    <w:rsid w:val="00606582"/>
    <w:rsid w:val="00606DA1"/>
    <w:rsid w:val="00610106"/>
    <w:rsid w:val="0061131B"/>
    <w:rsid w:val="00611B2F"/>
    <w:rsid w:val="0061251F"/>
    <w:rsid w:val="006126EE"/>
    <w:rsid w:val="00613172"/>
    <w:rsid w:val="0061331D"/>
    <w:rsid w:val="00613816"/>
    <w:rsid w:val="00613CD9"/>
    <w:rsid w:val="00614782"/>
    <w:rsid w:val="00614B52"/>
    <w:rsid w:val="00614C1E"/>
    <w:rsid w:val="006152D7"/>
    <w:rsid w:val="0061532C"/>
    <w:rsid w:val="00616819"/>
    <w:rsid w:val="006177D5"/>
    <w:rsid w:val="00617AFC"/>
    <w:rsid w:val="00617F94"/>
    <w:rsid w:val="00620181"/>
    <w:rsid w:val="006221E7"/>
    <w:rsid w:val="00622247"/>
    <w:rsid w:val="006224C8"/>
    <w:rsid w:val="006230C7"/>
    <w:rsid w:val="00623763"/>
    <w:rsid w:val="0062417F"/>
    <w:rsid w:val="006242B1"/>
    <w:rsid w:val="00624B6E"/>
    <w:rsid w:val="006256AF"/>
    <w:rsid w:val="006256F7"/>
    <w:rsid w:val="00625FF1"/>
    <w:rsid w:val="006277AB"/>
    <w:rsid w:val="00627A80"/>
    <w:rsid w:val="00627CAF"/>
    <w:rsid w:val="00630770"/>
    <w:rsid w:val="00630DE9"/>
    <w:rsid w:val="0063137B"/>
    <w:rsid w:val="00631B56"/>
    <w:rsid w:val="00631EEA"/>
    <w:rsid w:val="006321A3"/>
    <w:rsid w:val="00632225"/>
    <w:rsid w:val="0063279D"/>
    <w:rsid w:val="00632CA0"/>
    <w:rsid w:val="00633010"/>
    <w:rsid w:val="0063312A"/>
    <w:rsid w:val="006339F1"/>
    <w:rsid w:val="00633A2D"/>
    <w:rsid w:val="00633D28"/>
    <w:rsid w:val="00634028"/>
    <w:rsid w:val="00634353"/>
    <w:rsid w:val="0063479E"/>
    <w:rsid w:val="00634A17"/>
    <w:rsid w:val="00636A94"/>
    <w:rsid w:val="00636F03"/>
    <w:rsid w:val="00637602"/>
    <w:rsid w:val="00637EBE"/>
    <w:rsid w:val="006400AF"/>
    <w:rsid w:val="00640104"/>
    <w:rsid w:val="00640349"/>
    <w:rsid w:val="00640E73"/>
    <w:rsid w:val="00642729"/>
    <w:rsid w:val="00642942"/>
    <w:rsid w:val="00642B57"/>
    <w:rsid w:val="006430CF"/>
    <w:rsid w:val="00643AFC"/>
    <w:rsid w:val="00643B40"/>
    <w:rsid w:val="006447D8"/>
    <w:rsid w:val="00644B3F"/>
    <w:rsid w:val="006453AB"/>
    <w:rsid w:val="006466BE"/>
    <w:rsid w:val="006471F6"/>
    <w:rsid w:val="006474C0"/>
    <w:rsid w:val="0064769F"/>
    <w:rsid w:val="00650A83"/>
    <w:rsid w:val="0065144C"/>
    <w:rsid w:val="00651D8B"/>
    <w:rsid w:val="0065299D"/>
    <w:rsid w:val="00654808"/>
    <w:rsid w:val="0065663A"/>
    <w:rsid w:val="00656A4C"/>
    <w:rsid w:val="0065744A"/>
    <w:rsid w:val="00657818"/>
    <w:rsid w:val="006579C4"/>
    <w:rsid w:val="0066006E"/>
    <w:rsid w:val="00660149"/>
    <w:rsid w:val="00660AE6"/>
    <w:rsid w:val="006612FF"/>
    <w:rsid w:val="00661AC6"/>
    <w:rsid w:val="00661F48"/>
    <w:rsid w:val="0066275D"/>
    <w:rsid w:val="006630D5"/>
    <w:rsid w:val="006648D8"/>
    <w:rsid w:val="00665674"/>
    <w:rsid w:val="00670D78"/>
    <w:rsid w:val="006716F6"/>
    <w:rsid w:val="006727B8"/>
    <w:rsid w:val="00673D7F"/>
    <w:rsid w:val="00673DC2"/>
    <w:rsid w:val="00674203"/>
    <w:rsid w:val="0067622C"/>
    <w:rsid w:val="0067669C"/>
    <w:rsid w:val="00677782"/>
    <w:rsid w:val="00677814"/>
    <w:rsid w:val="00677BD3"/>
    <w:rsid w:val="006804F5"/>
    <w:rsid w:val="00680BBB"/>
    <w:rsid w:val="00680D84"/>
    <w:rsid w:val="00681B47"/>
    <w:rsid w:val="006820EF"/>
    <w:rsid w:val="00682CA2"/>
    <w:rsid w:val="0068388A"/>
    <w:rsid w:val="006841BD"/>
    <w:rsid w:val="00685F42"/>
    <w:rsid w:val="006860BC"/>
    <w:rsid w:val="006862C4"/>
    <w:rsid w:val="006871CE"/>
    <w:rsid w:val="00687D09"/>
    <w:rsid w:val="006906C9"/>
    <w:rsid w:val="00690D7B"/>
    <w:rsid w:val="0069209D"/>
    <w:rsid w:val="00692D60"/>
    <w:rsid w:val="00693A15"/>
    <w:rsid w:val="00694029"/>
    <w:rsid w:val="0069453C"/>
    <w:rsid w:val="00695327"/>
    <w:rsid w:val="006953C5"/>
    <w:rsid w:val="006963A7"/>
    <w:rsid w:val="00697975"/>
    <w:rsid w:val="00697A19"/>
    <w:rsid w:val="00697AE8"/>
    <w:rsid w:val="006A157E"/>
    <w:rsid w:val="006A165D"/>
    <w:rsid w:val="006A1F86"/>
    <w:rsid w:val="006A2318"/>
    <w:rsid w:val="006A2F7E"/>
    <w:rsid w:val="006A37D3"/>
    <w:rsid w:val="006A4D6D"/>
    <w:rsid w:val="006A63AD"/>
    <w:rsid w:val="006A74D3"/>
    <w:rsid w:val="006B0066"/>
    <w:rsid w:val="006B0437"/>
    <w:rsid w:val="006B1156"/>
    <w:rsid w:val="006B1B81"/>
    <w:rsid w:val="006B1E55"/>
    <w:rsid w:val="006B39DA"/>
    <w:rsid w:val="006B3C3E"/>
    <w:rsid w:val="006B448E"/>
    <w:rsid w:val="006B4BC2"/>
    <w:rsid w:val="006B4D71"/>
    <w:rsid w:val="006B5993"/>
    <w:rsid w:val="006B6C28"/>
    <w:rsid w:val="006B6D67"/>
    <w:rsid w:val="006C0440"/>
    <w:rsid w:val="006C0EE5"/>
    <w:rsid w:val="006C1DA1"/>
    <w:rsid w:val="006C20C6"/>
    <w:rsid w:val="006C2668"/>
    <w:rsid w:val="006C46DF"/>
    <w:rsid w:val="006C491E"/>
    <w:rsid w:val="006C5A4D"/>
    <w:rsid w:val="006C72CE"/>
    <w:rsid w:val="006D01A9"/>
    <w:rsid w:val="006D17A9"/>
    <w:rsid w:val="006D27DB"/>
    <w:rsid w:val="006D2C5F"/>
    <w:rsid w:val="006D3F88"/>
    <w:rsid w:val="006D4F60"/>
    <w:rsid w:val="006D6F9F"/>
    <w:rsid w:val="006D6FD5"/>
    <w:rsid w:val="006D7D62"/>
    <w:rsid w:val="006E1934"/>
    <w:rsid w:val="006E1B95"/>
    <w:rsid w:val="006E1D83"/>
    <w:rsid w:val="006E2237"/>
    <w:rsid w:val="006E2C42"/>
    <w:rsid w:val="006E50A7"/>
    <w:rsid w:val="006E5A49"/>
    <w:rsid w:val="006E60EF"/>
    <w:rsid w:val="006E7C13"/>
    <w:rsid w:val="006F0073"/>
    <w:rsid w:val="006F0374"/>
    <w:rsid w:val="006F0DE3"/>
    <w:rsid w:val="006F15A8"/>
    <w:rsid w:val="006F160A"/>
    <w:rsid w:val="006F2188"/>
    <w:rsid w:val="006F2E2E"/>
    <w:rsid w:val="006F2FC0"/>
    <w:rsid w:val="006F3152"/>
    <w:rsid w:val="006F49E3"/>
    <w:rsid w:val="006F5D6F"/>
    <w:rsid w:val="006F6716"/>
    <w:rsid w:val="006F7915"/>
    <w:rsid w:val="006F7A9D"/>
    <w:rsid w:val="00700D40"/>
    <w:rsid w:val="00700FCA"/>
    <w:rsid w:val="00701537"/>
    <w:rsid w:val="00701C81"/>
    <w:rsid w:val="00702716"/>
    <w:rsid w:val="00703D6E"/>
    <w:rsid w:val="00704881"/>
    <w:rsid w:val="00706CE2"/>
    <w:rsid w:val="0071020C"/>
    <w:rsid w:val="00710F96"/>
    <w:rsid w:val="007110A4"/>
    <w:rsid w:val="00711498"/>
    <w:rsid w:val="00713740"/>
    <w:rsid w:val="0071407C"/>
    <w:rsid w:val="007145BF"/>
    <w:rsid w:val="007147A3"/>
    <w:rsid w:val="007156D7"/>
    <w:rsid w:val="007164A3"/>
    <w:rsid w:val="007174C5"/>
    <w:rsid w:val="007203E3"/>
    <w:rsid w:val="007205EB"/>
    <w:rsid w:val="007206F5"/>
    <w:rsid w:val="00720E38"/>
    <w:rsid w:val="00721459"/>
    <w:rsid w:val="00722522"/>
    <w:rsid w:val="00722D68"/>
    <w:rsid w:val="0072330F"/>
    <w:rsid w:val="007243FD"/>
    <w:rsid w:val="007258E5"/>
    <w:rsid w:val="00726A44"/>
    <w:rsid w:val="00730CD1"/>
    <w:rsid w:val="007312B5"/>
    <w:rsid w:val="00731612"/>
    <w:rsid w:val="00731CD1"/>
    <w:rsid w:val="007322BA"/>
    <w:rsid w:val="00732A52"/>
    <w:rsid w:val="00733045"/>
    <w:rsid w:val="00733509"/>
    <w:rsid w:val="0073353B"/>
    <w:rsid w:val="00734B0F"/>
    <w:rsid w:val="007355DF"/>
    <w:rsid w:val="007374AD"/>
    <w:rsid w:val="007376EA"/>
    <w:rsid w:val="007377FC"/>
    <w:rsid w:val="00740075"/>
    <w:rsid w:val="00741E4D"/>
    <w:rsid w:val="00742A1F"/>
    <w:rsid w:val="00743ABC"/>
    <w:rsid w:val="00743F61"/>
    <w:rsid w:val="0074434B"/>
    <w:rsid w:val="007443F7"/>
    <w:rsid w:val="00744B83"/>
    <w:rsid w:val="00744C47"/>
    <w:rsid w:val="0074513D"/>
    <w:rsid w:val="00745785"/>
    <w:rsid w:val="00745885"/>
    <w:rsid w:val="00746A61"/>
    <w:rsid w:val="00747B5B"/>
    <w:rsid w:val="00750276"/>
    <w:rsid w:val="007526CF"/>
    <w:rsid w:val="00752EB4"/>
    <w:rsid w:val="007536BA"/>
    <w:rsid w:val="00754DA1"/>
    <w:rsid w:val="00755AAF"/>
    <w:rsid w:val="0075609D"/>
    <w:rsid w:val="007570D0"/>
    <w:rsid w:val="00757C9D"/>
    <w:rsid w:val="00760690"/>
    <w:rsid w:val="00760D29"/>
    <w:rsid w:val="0076179C"/>
    <w:rsid w:val="007624F0"/>
    <w:rsid w:val="00764732"/>
    <w:rsid w:val="00764C47"/>
    <w:rsid w:val="00765A91"/>
    <w:rsid w:val="00770B4F"/>
    <w:rsid w:val="007712C0"/>
    <w:rsid w:val="00771E97"/>
    <w:rsid w:val="0077213F"/>
    <w:rsid w:val="0077258E"/>
    <w:rsid w:val="0077261C"/>
    <w:rsid w:val="00772D97"/>
    <w:rsid w:val="00772E45"/>
    <w:rsid w:val="00772FD7"/>
    <w:rsid w:val="00773491"/>
    <w:rsid w:val="007776FF"/>
    <w:rsid w:val="00780A7C"/>
    <w:rsid w:val="00781293"/>
    <w:rsid w:val="00781468"/>
    <w:rsid w:val="0078298C"/>
    <w:rsid w:val="00782A11"/>
    <w:rsid w:val="0078332F"/>
    <w:rsid w:val="00783BDA"/>
    <w:rsid w:val="00784840"/>
    <w:rsid w:val="00784FCF"/>
    <w:rsid w:val="00785D64"/>
    <w:rsid w:val="007879DA"/>
    <w:rsid w:val="00787CEB"/>
    <w:rsid w:val="007906CE"/>
    <w:rsid w:val="00790A1A"/>
    <w:rsid w:val="0079133A"/>
    <w:rsid w:val="007914FE"/>
    <w:rsid w:val="00791A25"/>
    <w:rsid w:val="00792528"/>
    <w:rsid w:val="0079322A"/>
    <w:rsid w:val="0079322D"/>
    <w:rsid w:val="0079359D"/>
    <w:rsid w:val="007942B8"/>
    <w:rsid w:val="007943A9"/>
    <w:rsid w:val="00794DE6"/>
    <w:rsid w:val="00794E01"/>
    <w:rsid w:val="00797256"/>
    <w:rsid w:val="00797A00"/>
    <w:rsid w:val="00797AE1"/>
    <w:rsid w:val="007A00B2"/>
    <w:rsid w:val="007A0B43"/>
    <w:rsid w:val="007A0CDA"/>
    <w:rsid w:val="007A2258"/>
    <w:rsid w:val="007A2B55"/>
    <w:rsid w:val="007A4F68"/>
    <w:rsid w:val="007A610F"/>
    <w:rsid w:val="007A72BC"/>
    <w:rsid w:val="007A73E2"/>
    <w:rsid w:val="007A7729"/>
    <w:rsid w:val="007A77D5"/>
    <w:rsid w:val="007B18CE"/>
    <w:rsid w:val="007B2573"/>
    <w:rsid w:val="007B286C"/>
    <w:rsid w:val="007B30A7"/>
    <w:rsid w:val="007B3386"/>
    <w:rsid w:val="007B4F07"/>
    <w:rsid w:val="007B5560"/>
    <w:rsid w:val="007B6BF5"/>
    <w:rsid w:val="007B747C"/>
    <w:rsid w:val="007B74A2"/>
    <w:rsid w:val="007B7520"/>
    <w:rsid w:val="007B7EF5"/>
    <w:rsid w:val="007C029F"/>
    <w:rsid w:val="007C02C4"/>
    <w:rsid w:val="007C15C5"/>
    <w:rsid w:val="007C28FB"/>
    <w:rsid w:val="007C3828"/>
    <w:rsid w:val="007C491C"/>
    <w:rsid w:val="007C76D3"/>
    <w:rsid w:val="007C7FB4"/>
    <w:rsid w:val="007D0DA8"/>
    <w:rsid w:val="007D23EA"/>
    <w:rsid w:val="007D4132"/>
    <w:rsid w:val="007D44FC"/>
    <w:rsid w:val="007D4521"/>
    <w:rsid w:val="007D5927"/>
    <w:rsid w:val="007D5D3D"/>
    <w:rsid w:val="007D6244"/>
    <w:rsid w:val="007D6C03"/>
    <w:rsid w:val="007D7017"/>
    <w:rsid w:val="007D77F6"/>
    <w:rsid w:val="007D798C"/>
    <w:rsid w:val="007D7E6F"/>
    <w:rsid w:val="007E015D"/>
    <w:rsid w:val="007E0757"/>
    <w:rsid w:val="007E1EE0"/>
    <w:rsid w:val="007E22A2"/>
    <w:rsid w:val="007E3315"/>
    <w:rsid w:val="007E361C"/>
    <w:rsid w:val="007E36CC"/>
    <w:rsid w:val="007E3E7C"/>
    <w:rsid w:val="007E5808"/>
    <w:rsid w:val="007E6AC7"/>
    <w:rsid w:val="007E78F5"/>
    <w:rsid w:val="007E796C"/>
    <w:rsid w:val="007F0076"/>
    <w:rsid w:val="007F06FD"/>
    <w:rsid w:val="007F1B5F"/>
    <w:rsid w:val="007F2A98"/>
    <w:rsid w:val="007F34AF"/>
    <w:rsid w:val="007F4491"/>
    <w:rsid w:val="007F4AD6"/>
    <w:rsid w:val="007F570D"/>
    <w:rsid w:val="007F5D61"/>
    <w:rsid w:val="007F690D"/>
    <w:rsid w:val="007F6D83"/>
    <w:rsid w:val="007F74D6"/>
    <w:rsid w:val="008004E2"/>
    <w:rsid w:val="008012DD"/>
    <w:rsid w:val="0080148D"/>
    <w:rsid w:val="008018E4"/>
    <w:rsid w:val="00802085"/>
    <w:rsid w:val="00802707"/>
    <w:rsid w:val="00802A1F"/>
    <w:rsid w:val="0080320F"/>
    <w:rsid w:val="00803A8C"/>
    <w:rsid w:val="00804311"/>
    <w:rsid w:val="00804C71"/>
    <w:rsid w:val="00805428"/>
    <w:rsid w:val="00807EF0"/>
    <w:rsid w:val="00807FED"/>
    <w:rsid w:val="0081022E"/>
    <w:rsid w:val="00812327"/>
    <w:rsid w:val="00812E65"/>
    <w:rsid w:val="00814A93"/>
    <w:rsid w:val="00814FE1"/>
    <w:rsid w:val="00815510"/>
    <w:rsid w:val="008155D9"/>
    <w:rsid w:val="00815CFF"/>
    <w:rsid w:val="00815FDF"/>
    <w:rsid w:val="00817B6B"/>
    <w:rsid w:val="008202DA"/>
    <w:rsid w:val="008205B9"/>
    <w:rsid w:val="008220C3"/>
    <w:rsid w:val="008226D6"/>
    <w:rsid w:val="00823C34"/>
    <w:rsid w:val="00824423"/>
    <w:rsid w:val="008246E3"/>
    <w:rsid w:val="00824CDF"/>
    <w:rsid w:val="00824E81"/>
    <w:rsid w:val="00825E40"/>
    <w:rsid w:val="008263FB"/>
    <w:rsid w:val="0082650D"/>
    <w:rsid w:val="0082685D"/>
    <w:rsid w:val="008305B2"/>
    <w:rsid w:val="008314D0"/>
    <w:rsid w:val="008315F4"/>
    <w:rsid w:val="00831602"/>
    <w:rsid w:val="00831F88"/>
    <w:rsid w:val="008322E3"/>
    <w:rsid w:val="00834E77"/>
    <w:rsid w:val="00834EA4"/>
    <w:rsid w:val="00837D69"/>
    <w:rsid w:val="0084091A"/>
    <w:rsid w:val="00840AB3"/>
    <w:rsid w:val="00841E66"/>
    <w:rsid w:val="00843553"/>
    <w:rsid w:val="00843630"/>
    <w:rsid w:val="00843711"/>
    <w:rsid w:val="00843AF7"/>
    <w:rsid w:val="0084450D"/>
    <w:rsid w:val="00844B82"/>
    <w:rsid w:val="00846824"/>
    <w:rsid w:val="00846FF9"/>
    <w:rsid w:val="00847BA3"/>
    <w:rsid w:val="00847D0E"/>
    <w:rsid w:val="00847DAC"/>
    <w:rsid w:val="00851436"/>
    <w:rsid w:val="00851553"/>
    <w:rsid w:val="00853080"/>
    <w:rsid w:val="008549F3"/>
    <w:rsid w:val="00854AA0"/>
    <w:rsid w:val="00854D73"/>
    <w:rsid w:val="00856614"/>
    <w:rsid w:val="008577B3"/>
    <w:rsid w:val="00860D57"/>
    <w:rsid w:val="008612AB"/>
    <w:rsid w:val="00861C9D"/>
    <w:rsid w:val="00863A19"/>
    <w:rsid w:val="00863F62"/>
    <w:rsid w:val="008645C7"/>
    <w:rsid w:val="008647A9"/>
    <w:rsid w:val="008651F9"/>
    <w:rsid w:val="00865435"/>
    <w:rsid w:val="00866B9B"/>
    <w:rsid w:val="00870531"/>
    <w:rsid w:val="00871406"/>
    <w:rsid w:val="008718D3"/>
    <w:rsid w:val="008738ED"/>
    <w:rsid w:val="00873B08"/>
    <w:rsid w:val="00875272"/>
    <w:rsid w:val="008754A9"/>
    <w:rsid w:val="00876B5D"/>
    <w:rsid w:val="008776C1"/>
    <w:rsid w:val="00877AD8"/>
    <w:rsid w:val="00877D4C"/>
    <w:rsid w:val="008801F6"/>
    <w:rsid w:val="00880708"/>
    <w:rsid w:val="00880BF7"/>
    <w:rsid w:val="00881B5C"/>
    <w:rsid w:val="00882C7A"/>
    <w:rsid w:val="00883333"/>
    <w:rsid w:val="00883921"/>
    <w:rsid w:val="00883BD1"/>
    <w:rsid w:val="00884A4F"/>
    <w:rsid w:val="00884EE9"/>
    <w:rsid w:val="00886C61"/>
    <w:rsid w:val="00887028"/>
    <w:rsid w:val="00887B43"/>
    <w:rsid w:val="00891854"/>
    <w:rsid w:val="00891A37"/>
    <w:rsid w:val="00892046"/>
    <w:rsid w:val="00892A96"/>
    <w:rsid w:val="00892E3F"/>
    <w:rsid w:val="00892F9D"/>
    <w:rsid w:val="00896357"/>
    <w:rsid w:val="00896803"/>
    <w:rsid w:val="00896A9A"/>
    <w:rsid w:val="00896AC1"/>
    <w:rsid w:val="00896E04"/>
    <w:rsid w:val="00896FA6"/>
    <w:rsid w:val="00897197"/>
    <w:rsid w:val="008A1C4B"/>
    <w:rsid w:val="008A1DF8"/>
    <w:rsid w:val="008A353A"/>
    <w:rsid w:val="008A3CE3"/>
    <w:rsid w:val="008A3DDF"/>
    <w:rsid w:val="008A4692"/>
    <w:rsid w:val="008A4C80"/>
    <w:rsid w:val="008A5C18"/>
    <w:rsid w:val="008A5ECA"/>
    <w:rsid w:val="008A6007"/>
    <w:rsid w:val="008A66C9"/>
    <w:rsid w:val="008A6C0F"/>
    <w:rsid w:val="008A70F5"/>
    <w:rsid w:val="008A7E5A"/>
    <w:rsid w:val="008B053E"/>
    <w:rsid w:val="008B109D"/>
    <w:rsid w:val="008B24D1"/>
    <w:rsid w:val="008B26B1"/>
    <w:rsid w:val="008B2A0E"/>
    <w:rsid w:val="008B3F82"/>
    <w:rsid w:val="008B4F4D"/>
    <w:rsid w:val="008B5C31"/>
    <w:rsid w:val="008B5CE6"/>
    <w:rsid w:val="008B6D20"/>
    <w:rsid w:val="008B6E96"/>
    <w:rsid w:val="008C22E6"/>
    <w:rsid w:val="008C3C17"/>
    <w:rsid w:val="008C43B7"/>
    <w:rsid w:val="008C573D"/>
    <w:rsid w:val="008C5BD5"/>
    <w:rsid w:val="008C688A"/>
    <w:rsid w:val="008C7F8F"/>
    <w:rsid w:val="008D03C6"/>
    <w:rsid w:val="008D040C"/>
    <w:rsid w:val="008D0ABB"/>
    <w:rsid w:val="008D1234"/>
    <w:rsid w:val="008D17B5"/>
    <w:rsid w:val="008D3C0D"/>
    <w:rsid w:val="008D4B8A"/>
    <w:rsid w:val="008D53AD"/>
    <w:rsid w:val="008D71AB"/>
    <w:rsid w:val="008D7B29"/>
    <w:rsid w:val="008E025B"/>
    <w:rsid w:val="008E19C5"/>
    <w:rsid w:val="008E244A"/>
    <w:rsid w:val="008E2C1C"/>
    <w:rsid w:val="008E32F9"/>
    <w:rsid w:val="008E3EFE"/>
    <w:rsid w:val="008E45DE"/>
    <w:rsid w:val="008E4F96"/>
    <w:rsid w:val="008E4FD1"/>
    <w:rsid w:val="008E56FE"/>
    <w:rsid w:val="008E5BB4"/>
    <w:rsid w:val="008E6941"/>
    <w:rsid w:val="008F01D9"/>
    <w:rsid w:val="008F0736"/>
    <w:rsid w:val="008F0F30"/>
    <w:rsid w:val="008F1A98"/>
    <w:rsid w:val="008F1D9E"/>
    <w:rsid w:val="008F5387"/>
    <w:rsid w:val="008F5E26"/>
    <w:rsid w:val="008F7178"/>
    <w:rsid w:val="00902FCC"/>
    <w:rsid w:val="00903B3C"/>
    <w:rsid w:val="00903F00"/>
    <w:rsid w:val="0090429F"/>
    <w:rsid w:val="00904850"/>
    <w:rsid w:val="00904A2A"/>
    <w:rsid w:val="00904C42"/>
    <w:rsid w:val="00905081"/>
    <w:rsid w:val="00905BC5"/>
    <w:rsid w:val="00907D23"/>
    <w:rsid w:val="00910133"/>
    <w:rsid w:val="0091049C"/>
    <w:rsid w:val="009105EC"/>
    <w:rsid w:val="00910953"/>
    <w:rsid w:val="00912787"/>
    <w:rsid w:val="00912AA1"/>
    <w:rsid w:val="009130A8"/>
    <w:rsid w:val="009139A9"/>
    <w:rsid w:val="00914288"/>
    <w:rsid w:val="00915CD4"/>
    <w:rsid w:val="009170EC"/>
    <w:rsid w:val="00917FC7"/>
    <w:rsid w:val="009201FC"/>
    <w:rsid w:val="00920582"/>
    <w:rsid w:val="00921492"/>
    <w:rsid w:val="00921909"/>
    <w:rsid w:val="00921A95"/>
    <w:rsid w:val="00921F3C"/>
    <w:rsid w:val="00922AD8"/>
    <w:rsid w:val="00923E1D"/>
    <w:rsid w:val="00925AEF"/>
    <w:rsid w:val="009265E2"/>
    <w:rsid w:val="0092668E"/>
    <w:rsid w:val="00926B8A"/>
    <w:rsid w:val="00927DF1"/>
    <w:rsid w:val="00930059"/>
    <w:rsid w:val="009317C1"/>
    <w:rsid w:val="009331BB"/>
    <w:rsid w:val="00933FA2"/>
    <w:rsid w:val="009343DA"/>
    <w:rsid w:val="00934FD7"/>
    <w:rsid w:val="00935022"/>
    <w:rsid w:val="00935135"/>
    <w:rsid w:val="00935518"/>
    <w:rsid w:val="009359E6"/>
    <w:rsid w:val="00936309"/>
    <w:rsid w:val="00936525"/>
    <w:rsid w:val="009369D1"/>
    <w:rsid w:val="0093739B"/>
    <w:rsid w:val="00937468"/>
    <w:rsid w:val="009411F7"/>
    <w:rsid w:val="00941706"/>
    <w:rsid w:val="0094190F"/>
    <w:rsid w:val="00943546"/>
    <w:rsid w:val="00944D46"/>
    <w:rsid w:val="00945F77"/>
    <w:rsid w:val="00946D07"/>
    <w:rsid w:val="00947061"/>
    <w:rsid w:val="009470F8"/>
    <w:rsid w:val="00947141"/>
    <w:rsid w:val="0094730A"/>
    <w:rsid w:val="00951082"/>
    <w:rsid w:val="00951B65"/>
    <w:rsid w:val="00952285"/>
    <w:rsid w:val="00952487"/>
    <w:rsid w:val="00952625"/>
    <w:rsid w:val="0095279D"/>
    <w:rsid w:val="00952CAF"/>
    <w:rsid w:val="009537F5"/>
    <w:rsid w:val="00955669"/>
    <w:rsid w:val="009575C6"/>
    <w:rsid w:val="00957D60"/>
    <w:rsid w:val="009608C5"/>
    <w:rsid w:val="009619B9"/>
    <w:rsid w:val="009626FC"/>
    <w:rsid w:val="009636CC"/>
    <w:rsid w:val="00963F3A"/>
    <w:rsid w:val="009644FA"/>
    <w:rsid w:val="009648DC"/>
    <w:rsid w:val="00964C2D"/>
    <w:rsid w:val="00966656"/>
    <w:rsid w:val="00970639"/>
    <w:rsid w:val="009722A7"/>
    <w:rsid w:val="00972643"/>
    <w:rsid w:val="00974371"/>
    <w:rsid w:val="0097546B"/>
    <w:rsid w:val="0097584F"/>
    <w:rsid w:val="009759A8"/>
    <w:rsid w:val="00975BC7"/>
    <w:rsid w:val="00975E01"/>
    <w:rsid w:val="00977319"/>
    <w:rsid w:val="0097789F"/>
    <w:rsid w:val="0098070E"/>
    <w:rsid w:val="0098138F"/>
    <w:rsid w:val="009826CD"/>
    <w:rsid w:val="00982B51"/>
    <w:rsid w:val="00984023"/>
    <w:rsid w:val="009849F0"/>
    <w:rsid w:val="0098574D"/>
    <w:rsid w:val="0098695D"/>
    <w:rsid w:val="00986D8F"/>
    <w:rsid w:val="0098715B"/>
    <w:rsid w:val="009878FE"/>
    <w:rsid w:val="00987F22"/>
    <w:rsid w:val="00987F95"/>
    <w:rsid w:val="00990C67"/>
    <w:rsid w:val="00990DDD"/>
    <w:rsid w:val="0099106E"/>
    <w:rsid w:val="00991538"/>
    <w:rsid w:val="0099282E"/>
    <w:rsid w:val="00992F09"/>
    <w:rsid w:val="00992FAD"/>
    <w:rsid w:val="00993007"/>
    <w:rsid w:val="009932E5"/>
    <w:rsid w:val="00995819"/>
    <w:rsid w:val="009962D9"/>
    <w:rsid w:val="00996961"/>
    <w:rsid w:val="009973A3"/>
    <w:rsid w:val="009A000A"/>
    <w:rsid w:val="009A0395"/>
    <w:rsid w:val="009A06C0"/>
    <w:rsid w:val="009A2652"/>
    <w:rsid w:val="009A47B4"/>
    <w:rsid w:val="009A5366"/>
    <w:rsid w:val="009A557E"/>
    <w:rsid w:val="009A6FC9"/>
    <w:rsid w:val="009A7437"/>
    <w:rsid w:val="009A7D0B"/>
    <w:rsid w:val="009B0683"/>
    <w:rsid w:val="009B0D90"/>
    <w:rsid w:val="009B0E9A"/>
    <w:rsid w:val="009B2862"/>
    <w:rsid w:val="009B4EC9"/>
    <w:rsid w:val="009B5718"/>
    <w:rsid w:val="009B5F43"/>
    <w:rsid w:val="009B6A50"/>
    <w:rsid w:val="009B6B00"/>
    <w:rsid w:val="009B7045"/>
    <w:rsid w:val="009B74DF"/>
    <w:rsid w:val="009C0291"/>
    <w:rsid w:val="009C203A"/>
    <w:rsid w:val="009C481E"/>
    <w:rsid w:val="009C55FA"/>
    <w:rsid w:val="009C588B"/>
    <w:rsid w:val="009C5BDE"/>
    <w:rsid w:val="009C6BC3"/>
    <w:rsid w:val="009C70B6"/>
    <w:rsid w:val="009C7A62"/>
    <w:rsid w:val="009D11DF"/>
    <w:rsid w:val="009D1702"/>
    <w:rsid w:val="009D1CFE"/>
    <w:rsid w:val="009D3803"/>
    <w:rsid w:val="009D41E4"/>
    <w:rsid w:val="009E046E"/>
    <w:rsid w:val="009E09A1"/>
    <w:rsid w:val="009E0E94"/>
    <w:rsid w:val="009E177C"/>
    <w:rsid w:val="009E1C38"/>
    <w:rsid w:val="009E2286"/>
    <w:rsid w:val="009E2537"/>
    <w:rsid w:val="009E2688"/>
    <w:rsid w:val="009E2D4A"/>
    <w:rsid w:val="009E3321"/>
    <w:rsid w:val="009E4483"/>
    <w:rsid w:val="009E4868"/>
    <w:rsid w:val="009E4B30"/>
    <w:rsid w:val="009E6238"/>
    <w:rsid w:val="009E6CF3"/>
    <w:rsid w:val="009E71F1"/>
    <w:rsid w:val="009E7218"/>
    <w:rsid w:val="009E7F37"/>
    <w:rsid w:val="009F1D29"/>
    <w:rsid w:val="009F225C"/>
    <w:rsid w:val="009F2793"/>
    <w:rsid w:val="009F2ABD"/>
    <w:rsid w:val="009F2CA3"/>
    <w:rsid w:val="009F3029"/>
    <w:rsid w:val="009F3A15"/>
    <w:rsid w:val="009F4002"/>
    <w:rsid w:val="00A0016E"/>
    <w:rsid w:val="00A004C6"/>
    <w:rsid w:val="00A0095B"/>
    <w:rsid w:val="00A0173B"/>
    <w:rsid w:val="00A01B68"/>
    <w:rsid w:val="00A01BF3"/>
    <w:rsid w:val="00A02E09"/>
    <w:rsid w:val="00A035C7"/>
    <w:rsid w:val="00A0377C"/>
    <w:rsid w:val="00A0423F"/>
    <w:rsid w:val="00A050BD"/>
    <w:rsid w:val="00A05BD9"/>
    <w:rsid w:val="00A070BE"/>
    <w:rsid w:val="00A07319"/>
    <w:rsid w:val="00A075BC"/>
    <w:rsid w:val="00A10EA7"/>
    <w:rsid w:val="00A1180D"/>
    <w:rsid w:val="00A121D5"/>
    <w:rsid w:val="00A12320"/>
    <w:rsid w:val="00A12487"/>
    <w:rsid w:val="00A12DFF"/>
    <w:rsid w:val="00A13693"/>
    <w:rsid w:val="00A13965"/>
    <w:rsid w:val="00A150DC"/>
    <w:rsid w:val="00A150FE"/>
    <w:rsid w:val="00A15E2E"/>
    <w:rsid w:val="00A176BC"/>
    <w:rsid w:val="00A20643"/>
    <w:rsid w:val="00A20699"/>
    <w:rsid w:val="00A24000"/>
    <w:rsid w:val="00A266E6"/>
    <w:rsid w:val="00A27CB7"/>
    <w:rsid w:val="00A27ED9"/>
    <w:rsid w:val="00A305B7"/>
    <w:rsid w:val="00A307AE"/>
    <w:rsid w:val="00A3141C"/>
    <w:rsid w:val="00A31782"/>
    <w:rsid w:val="00A32977"/>
    <w:rsid w:val="00A339C1"/>
    <w:rsid w:val="00A341BB"/>
    <w:rsid w:val="00A34326"/>
    <w:rsid w:val="00A357E9"/>
    <w:rsid w:val="00A3745F"/>
    <w:rsid w:val="00A37C1E"/>
    <w:rsid w:val="00A40849"/>
    <w:rsid w:val="00A41210"/>
    <w:rsid w:val="00A41EED"/>
    <w:rsid w:val="00A422DB"/>
    <w:rsid w:val="00A42CFB"/>
    <w:rsid w:val="00A44085"/>
    <w:rsid w:val="00A4496E"/>
    <w:rsid w:val="00A45785"/>
    <w:rsid w:val="00A46471"/>
    <w:rsid w:val="00A47439"/>
    <w:rsid w:val="00A478C5"/>
    <w:rsid w:val="00A50E2B"/>
    <w:rsid w:val="00A52172"/>
    <w:rsid w:val="00A54627"/>
    <w:rsid w:val="00A54900"/>
    <w:rsid w:val="00A54AC3"/>
    <w:rsid w:val="00A55290"/>
    <w:rsid w:val="00A57684"/>
    <w:rsid w:val="00A57BD5"/>
    <w:rsid w:val="00A603C3"/>
    <w:rsid w:val="00A60511"/>
    <w:rsid w:val="00A60625"/>
    <w:rsid w:val="00A60A3C"/>
    <w:rsid w:val="00A6174B"/>
    <w:rsid w:val="00A62A22"/>
    <w:rsid w:val="00A6398B"/>
    <w:rsid w:val="00A64F9C"/>
    <w:rsid w:val="00A65CD9"/>
    <w:rsid w:val="00A66280"/>
    <w:rsid w:val="00A663C7"/>
    <w:rsid w:val="00A679E4"/>
    <w:rsid w:val="00A67B64"/>
    <w:rsid w:val="00A67B8C"/>
    <w:rsid w:val="00A712FB"/>
    <w:rsid w:val="00A72FA3"/>
    <w:rsid w:val="00A73D7F"/>
    <w:rsid w:val="00A73DD3"/>
    <w:rsid w:val="00A73EEC"/>
    <w:rsid w:val="00A757B1"/>
    <w:rsid w:val="00A75849"/>
    <w:rsid w:val="00A75BF1"/>
    <w:rsid w:val="00A806A2"/>
    <w:rsid w:val="00A81049"/>
    <w:rsid w:val="00A8284B"/>
    <w:rsid w:val="00A82D4D"/>
    <w:rsid w:val="00A841C1"/>
    <w:rsid w:val="00A857D7"/>
    <w:rsid w:val="00A85890"/>
    <w:rsid w:val="00A866A7"/>
    <w:rsid w:val="00A87125"/>
    <w:rsid w:val="00A8770E"/>
    <w:rsid w:val="00A87C7B"/>
    <w:rsid w:val="00A9068D"/>
    <w:rsid w:val="00A907C4"/>
    <w:rsid w:val="00A93138"/>
    <w:rsid w:val="00A931D2"/>
    <w:rsid w:val="00A93D1F"/>
    <w:rsid w:val="00A93DD2"/>
    <w:rsid w:val="00A94C05"/>
    <w:rsid w:val="00A95451"/>
    <w:rsid w:val="00A956D9"/>
    <w:rsid w:val="00A95768"/>
    <w:rsid w:val="00A95C83"/>
    <w:rsid w:val="00A97520"/>
    <w:rsid w:val="00AA01AC"/>
    <w:rsid w:val="00AA0A3C"/>
    <w:rsid w:val="00AA0CBA"/>
    <w:rsid w:val="00AA0E6C"/>
    <w:rsid w:val="00AA0FA5"/>
    <w:rsid w:val="00AA10DA"/>
    <w:rsid w:val="00AA127D"/>
    <w:rsid w:val="00AA352F"/>
    <w:rsid w:val="00AA3B2E"/>
    <w:rsid w:val="00AA3C9A"/>
    <w:rsid w:val="00AA4EA2"/>
    <w:rsid w:val="00AA4F64"/>
    <w:rsid w:val="00AA6728"/>
    <w:rsid w:val="00AA6BF7"/>
    <w:rsid w:val="00AA6D5F"/>
    <w:rsid w:val="00AB1280"/>
    <w:rsid w:val="00AB1AA2"/>
    <w:rsid w:val="00AB1C7E"/>
    <w:rsid w:val="00AB2C12"/>
    <w:rsid w:val="00AB40C3"/>
    <w:rsid w:val="00AB416F"/>
    <w:rsid w:val="00AB5923"/>
    <w:rsid w:val="00AB72FD"/>
    <w:rsid w:val="00AB7B2E"/>
    <w:rsid w:val="00AC014E"/>
    <w:rsid w:val="00AC01F8"/>
    <w:rsid w:val="00AC14EB"/>
    <w:rsid w:val="00AC1D1D"/>
    <w:rsid w:val="00AC303A"/>
    <w:rsid w:val="00AC3F65"/>
    <w:rsid w:val="00AC4B9C"/>
    <w:rsid w:val="00AC5EEF"/>
    <w:rsid w:val="00AC63F1"/>
    <w:rsid w:val="00AC70BD"/>
    <w:rsid w:val="00AC7632"/>
    <w:rsid w:val="00AC7857"/>
    <w:rsid w:val="00AC7CC9"/>
    <w:rsid w:val="00AC7DF8"/>
    <w:rsid w:val="00AD0FE2"/>
    <w:rsid w:val="00AD120C"/>
    <w:rsid w:val="00AD40E4"/>
    <w:rsid w:val="00AD4275"/>
    <w:rsid w:val="00AD488E"/>
    <w:rsid w:val="00AD4FC3"/>
    <w:rsid w:val="00AD5525"/>
    <w:rsid w:val="00AD5E7F"/>
    <w:rsid w:val="00AD6F93"/>
    <w:rsid w:val="00AD75D1"/>
    <w:rsid w:val="00AE06E0"/>
    <w:rsid w:val="00AE0851"/>
    <w:rsid w:val="00AE24D1"/>
    <w:rsid w:val="00AE4B00"/>
    <w:rsid w:val="00AE5A78"/>
    <w:rsid w:val="00AE5B2D"/>
    <w:rsid w:val="00AE6490"/>
    <w:rsid w:val="00AE6DF6"/>
    <w:rsid w:val="00AE7070"/>
    <w:rsid w:val="00AE72B9"/>
    <w:rsid w:val="00AE77D2"/>
    <w:rsid w:val="00AF02B3"/>
    <w:rsid w:val="00AF0403"/>
    <w:rsid w:val="00AF079A"/>
    <w:rsid w:val="00AF0AB0"/>
    <w:rsid w:val="00AF18AE"/>
    <w:rsid w:val="00AF1D9E"/>
    <w:rsid w:val="00AF3126"/>
    <w:rsid w:val="00AF3138"/>
    <w:rsid w:val="00AF3F43"/>
    <w:rsid w:val="00AF5E6A"/>
    <w:rsid w:val="00AF62EB"/>
    <w:rsid w:val="00AF685A"/>
    <w:rsid w:val="00AF6A15"/>
    <w:rsid w:val="00AF747C"/>
    <w:rsid w:val="00B00368"/>
    <w:rsid w:val="00B0084D"/>
    <w:rsid w:val="00B03E7F"/>
    <w:rsid w:val="00B04CBB"/>
    <w:rsid w:val="00B04D2B"/>
    <w:rsid w:val="00B0587E"/>
    <w:rsid w:val="00B058EF"/>
    <w:rsid w:val="00B06DDE"/>
    <w:rsid w:val="00B10B1B"/>
    <w:rsid w:val="00B1176A"/>
    <w:rsid w:val="00B126BA"/>
    <w:rsid w:val="00B12BBE"/>
    <w:rsid w:val="00B13C4A"/>
    <w:rsid w:val="00B14906"/>
    <w:rsid w:val="00B14CA8"/>
    <w:rsid w:val="00B151D4"/>
    <w:rsid w:val="00B15F43"/>
    <w:rsid w:val="00B17114"/>
    <w:rsid w:val="00B171D3"/>
    <w:rsid w:val="00B1722C"/>
    <w:rsid w:val="00B20F12"/>
    <w:rsid w:val="00B22008"/>
    <w:rsid w:val="00B2298E"/>
    <w:rsid w:val="00B23D68"/>
    <w:rsid w:val="00B25237"/>
    <w:rsid w:val="00B25A5D"/>
    <w:rsid w:val="00B25D64"/>
    <w:rsid w:val="00B25D7A"/>
    <w:rsid w:val="00B262CD"/>
    <w:rsid w:val="00B26CEF"/>
    <w:rsid w:val="00B30301"/>
    <w:rsid w:val="00B30383"/>
    <w:rsid w:val="00B30DA7"/>
    <w:rsid w:val="00B31922"/>
    <w:rsid w:val="00B31FC1"/>
    <w:rsid w:val="00B322AD"/>
    <w:rsid w:val="00B33AC7"/>
    <w:rsid w:val="00B348CF"/>
    <w:rsid w:val="00B34C6C"/>
    <w:rsid w:val="00B35795"/>
    <w:rsid w:val="00B35B85"/>
    <w:rsid w:val="00B35E8E"/>
    <w:rsid w:val="00B35EF3"/>
    <w:rsid w:val="00B36644"/>
    <w:rsid w:val="00B405BC"/>
    <w:rsid w:val="00B40AD0"/>
    <w:rsid w:val="00B41003"/>
    <w:rsid w:val="00B41265"/>
    <w:rsid w:val="00B41511"/>
    <w:rsid w:val="00B427E4"/>
    <w:rsid w:val="00B42DF5"/>
    <w:rsid w:val="00B433B7"/>
    <w:rsid w:val="00B43F5F"/>
    <w:rsid w:val="00B4584A"/>
    <w:rsid w:val="00B45C7D"/>
    <w:rsid w:val="00B45E9B"/>
    <w:rsid w:val="00B46A91"/>
    <w:rsid w:val="00B46BB2"/>
    <w:rsid w:val="00B470DC"/>
    <w:rsid w:val="00B47A25"/>
    <w:rsid w:val="00B50715"/>
    <w:rsid w:val="00B50796"/>
    <w:rsid w:val="00B50B3F"/>
    <w:rsid w:val="00B511A5"/>
    <w:rsid w:val="00B51C05"/>
    <w:rsid w:val="00B523B7"/>
    <w:rsid w:val="00B5296E"/>
    <w:rsid w:val="00B53286"/>
    <w:rsid w:val="00B53948"/>
    <w:rsid w:val="00B56074"/>
    <w:rsid w:val="00B56FFF"/>
    <w:rsid w:val="00B572E5"/>
    <w:rsid w:val="00B57543"/>
    <w:rsid w:val="00B611BD"/>
    <w:rsid w:val="00B61CF4"/>
    <w:rsid w:val="00B61E0B"/>
    <w:rsid w:val="00B63B4D"/>
    <w:rsid w:val="00B63EE9"/>
    <w:rsid w:val="00B64145"/>
    <w:rsid w:val="00B64AAF"/>
    <w:rsid w:val="00B6549E"/>
    <w:rsid w:val="00B65A0B"/>
    <w:rsid w:val="00B65C53"/>
    <w:rsid w:val="00B66105"/>
    <w:rsid w:val="00B70118"/>
    <w:rsid w:val="00B70E5A"/>
    <w:rsid w:val="00B719CE"/>
    <w:rsid w:val="00B724CB"/>
    <w:rsid w:val="00B7350E"/>
    <w:rsid w:val="00B73BA3"/>
    <w:rsid w:val="00B73DDD"/>
    <w:rsid w:val="00B76F08"/>
    <w:rsid w:val="00B7714B"/>
    <w:rsid w:val="00B7731A"/>
    <w:rsid w:val="00B77CAA"/>
    <w:rsid w:val="00B8100A"/>
    <w:rsid w:val="00B81952"/>
    <w:rsid w:val="00B81A1A"/>
    <w:rsid w:val="00B81AE9"/>
    <w:rsid w:val="00B8248E"/>
    <w:rsid w:val="00B8257D"/>
    <w:rsid w:val="00B85C04"/>
    <w:rsid w:val="00B860C2"/>
    <w:rsid w:val="00B86648"/>
    <w:rsid w:val="00B92F36"/>
    <w:rsid w:val="00B93061"/>
    <w:rsid w:val="00B94237"/>
    <w:rsid w:val="00B9564B"/>
    <w:rsid w:val="00B95683"/>
    <w:rsid w:val="00B96C98"/>
    <w:rsid w:val="00B97388"/>
    <w:rsid w:val="00B97848"/>
    <w:rsid w:val="00B97D7E"/>
    <w:rsid w:val="00B97F13"/>
    <w:rsid w:val="00B97FA3"/>
    <w:rsid w:val="00BA01D5"/>
    <w:rsid w:val="00BA02A1"/>
    <w:rsid w:val="00BA04BA"/>
    <w:rsid w:val="00BA076C"/>
    <w:rsid w:val="00BA09B0"/>
    <w:rsid w:val="00BA0BB6"/>
    <w:rsid w:val="00BA0C5C"/>
    <w:rsid w:val="00BA0E39"/>
    <w:rsid w:val="00BA1269"/>
    <w:rsid w:val="00BA1898"/>
    <w:rsid w:val="00BA2083"/>
    <w:rsid w:val="00BA2506"/>
    <w:rsid w:val="00BA29C1"/>
    <w:rsid w:val="00BA2E50"/>
    <w:rsid w:val="00BA3DF1"/>
    <w:rsid w:val="00BA4AD6"/>
    <w:rsid w:val="00BA5DD7"/>
    <w:rsid w:val="00BA6A83"/>
    <w:rsid w:val="00BA725E"/>
    <w:rsid w:val="00BA78AB"/>
    <w:rsid w:val="00BA7B6E"/>
    <w:rsid w:val="00BB0244"/>
    <w:rsid w:val="00BB05BD"/>
    <w:rsid w:val="00BB10A8"/>
    <w:rsid w:val="00BB122E"/>
    <w:rsid w:val="00BB1F75"/>
    <w:rsid w:val="00BB233F"/>
    <w:rsid w:val="00BB2FAE"/>
    <w:rsid w:val="00BB3C79"/>
    <w:rsid w:val="00BB4C57"/>
    <w:rsid w:val="00BB5163"/>
    <w:rsid w:val="00BB6BEC"/>
    <w:rsid w:val="00BB6FB0"/>
    <w:rsid w:val="00BC1653"/>
    <w:rsid w:val="00BC19DB"/>
    <w:rsid w:val="00BC2A1A"/>
    <w:rsid w:val="00BC2C9F"/>
    <w:rsid w:val="00BC3264"/>
    <w:rsid w:val="00BC3B1E"/>
    <w:rsid w:val="00BC4CDB"/>
    <w:rsid w:val="00BC4D87"/>
    <w:rsid w:val="00BC5B9C"/>
    <w:rsid w:val="00BC60D2"/>
    <w:rsid w:val="00BC77FB"/>
    <w:rsid w:val="00BD0F03"/>
    <w:rsid w:val="00BD362B"/>
    <w:rsid w:val="00BD5169"/>
    <w:rsid w:val="00BD5178"/>
    <w:rsid w:val="00BD55DA"/>
    <w:rsid w:val="00BE08B1"/>
    <w:rsid w:val="00BE08FB"/>
    <w:rsid w:val="00BE0FE2"/>
    <w:rsid w:val="00BE37FC"/>
    <w:rsid w:val="00BE3BCC"/>
    <w:rsid w:val="00BE471F"/>
    <w:rsid w:val="00BE4B8D"/>
    <w:rsid w:val="00BE51B1"/>
    <w:rsid w:val="00BE5233"/>
    <w:rsid w:val="00BE5D8F"/>
    <w:rsid w:val="00BF025F"/>
    <w:rsid w:val="00BF07D7"/>
    <w:rsid w:val="00BF1A89"/>
    <w:rsid w:val="00BF34EA"/>
    <w:rsid w:val="00BF3624"/>
    <w:rsid w:val="00BF37FB"/>
    <w:rsid w:val="00BF3962"/>
    <w:rsid w:val="00BF4E6D"/>
    <w:rsid w:val="00BF4F6B"/>
    <w:rsid w:val="00BF5C70"/>
    <w:rsid w:val="00BF5F9D"/>
    <w:rsid w:val="00BF644B"/>
    <w:rsid w:val="00BF6ED7"/>
    <w:rsid w:val="00C001F9"/>
    <w:rsid w:val="00C0020B"/>
    <w:rsid w:val="00C0062A"/>
    <w:rsid w:val="00C00773"/>
    <w:rsid w:val="00C01BE1"/>
    <w:rsid w:val="00C03BDB"/>
    <w:rsid w:val="00C03CCA"/>
    <w:rsid w:val="00C0476F"/>
    <w:rsid w:val="00C04B22"/>
    <w:rsid w:val="00C05471"/>
    <w:rsid w:val="00C05A1D"/>
    <w:rsid w:val="00C07430"/>
    <w:rsid w:val="00C10299"/>
    <w:rsid w:val="00C1062B"/>
    <w:rsid w:val="00C1161E"/>
    <w:rsid w:val="00C13251"/>
    <w:rsid w:val="00C13BDF"/>
    <w:rsid w:val="00C14252"/>
    <w:rsid w:val="00C150FC"/>
    <w:rsid w:val="00C16507"/>
    <w:rsid w:val="00C21881"/>
    <w:rsid w:val="00C22E4A"/>
    <w:rsid w:val="00C24700"/>
    <w:rsid w:val="00C2540E"/>
    <w:rsid w:val="00C261DC"/>
    <w:rsid w:val="00C265AA"/>
    <w:rsid w:val="00C270A8"/>
    <w:rsid w:val="00C27E6E"/>
    <w:rsid w:val="00C3188B"/>
    <w:rsid w:val="00C31A50"/>
    <w:rsid w:val="00C321A6"/>
    <w:rsid w:val="00C33116"/>
    <w:rsid w:val="00C33616"/>
    <w:rsid w:val="00C33A19"/>
    <w:rsid w:val="00C34C9F"/>
    <w:rsid w:val="00C35176"/>
    <w:rsid w:val="00C362A9"/>
    <w:rsid w:val="00C410A4"/>
    <w:rsid w:val="00C416C2"/>
    <w:rsid w:val="00C41ABE"/>
    <w:rsid w:val="00C42D2E"/>
    <w:rsid w:val="00C4334A"/>
    <w:rsid w:val="00C461F5"/>
    <w:rsid w:val="00C4621E"/>
    <w:rsid w:val="00C50A27"/>
    <w:rsid w:val="00C51242"/>
    <w:rsid w:val="00C52B16"/>
    <w:rsid w:val="00C52BFA"/>
    <w:rsid w:val="00C531F2"/>
    <w:rsid w:val="00C53315"/>
    <w:rsid w:val="00C54829"/>
    <w:rsid w:val="00C56547"/>
    <w:rsid w:val="00C573D3"/>
    <w:rsid w:val="00C573FF"/>
    <w:rsid w:val="00C60625"/>
    <w:rsid w:val="00C6108D"/>
    <w:rsid w:val="00C61B15"/>
    <w:rsid w:val="00C62415"/>
    <w:rsid w:val="00C62470"/>
    <w:rsid w:val="00C6307B"/>
    <w:rsid w:val="00C632D4"/>
    <w:rsid w:val="00C63DE7"/>
    <w:rsid w:val="00C63EC7"/>
    <w:rsid w:val="00C6407C"/>
    <w:rsid w:val="00C65307"/>
    <w:rsid w:val="00C654F8"/>
    <w:rsid w:val="00C67B18"/>
    <w:rsid w:val="00C67D8C"/>
    <w:rsid w:val="00C7035E"/>
    <w:rsid w:val="00C70881"/>
    <w:rsid w:val="00C71321"/>
    <w:rsid w:val="00C7174E"/>
    <w:rsid w:val="00C71E0B"/>
    <w:rsid w:val="00C721D2"/>
    <w:rsid w:val="00C73D47"/>
    <w:rsid w:val="00C74366"/>
    <w:rsid w:val="00C751F6"/>
    <w:rsid w:val="00C756EF"/>
    <w:rsid w:val="00C757FB"/>
    <w:rsid w:val="00C7664E"/>
    <w:rsid w:val="00C76720"/>
    <w:rsid w:val="00C810A7"/>
    <w:rsid w:val="00C81737"/>
    <w:rsid w:val="00C81DE7"/>
    <w:rsid w:val="00C831A4"/>
    <w:rsid w:val="00C83466"/>
    <w:rsid w:val="00C8355C"/>
    <w:rsid w:val="00C8424F"/>
    <w:rsid w:val="00C875E5"/>
    <w:rsid w:val="00C912D6"/>
    <w:rsid w:val="00C91A1A"/>
    <w:rsid w:val="00C92417"/>
    <w:rsid w:val="00C94C74"/>
    <w:rsid w:val="00C957CB"/>
    <w:rsid w:val="00C96F40"/>
    <w:rsid w:val="00CA16EE"/>
    <w:rsid w:val="00CA1D16"/>
    <w:rsid w:val="00CA2475"/>
    <w:rsid w:val="00CA2BA0"/>
    <w:rsid w:val="00CA2F82"/>
    <w:rsid w:val="00CA43CA"/>
    <w:rsid w:val="00CA61EA"/>
    <w:rsid w:val="00CB0066"/>
    <w:rsid w:val="00CB0386"/>
    <w:rsid w:val="00CB1BAD"/>
    <w:rsid w:val="00CB2DEA"/>
    <w:rsid w:val="00CB47D7"/>
    <w:rsid w:val="00CB4A9A"/>
    <w:rsid w:val="00CB6DE5"/>
    <w:rsid w:val="00CC02E6"/>
    <w:rsid w:val="00CC04EA"/>
    <w:rsid w:val="00CC0A6E"/>
    <w:rsid w:val="00CC0AB3"/>
    <w:rsid w:val="00CC0F15"/>
    <w:rsid w:val="00CC2056"/>
    <w:rsid w:val="00CC2D27"/>
    <w:rsid w:val="00CC46D1"/>
    <w:rsid w:val="00CC50EA"/>
    <w:rsid w:val="00CC5EBC"/>
    <w:rsid w:val="00CC6112"/>
    <w:rsid w:val="00CC6626"/>
    <w:rsid w:val="00CC667D"/>
    <w:rsid w:val="00CC6B3A"/>
    <w:rsid w:val="00CC6F71"/>
    <w:rsid w:val="00CC7109"/>
    <w:rsid w:val="00CC76DD"/>
    <w:rsid w:val="00CD18B3"/>
    <w:rsid w:val="00CD2CC1"/>
    <w:rsid w:val="00CD6F80"/>
    <w:rsid w:val="00CD78F2"/>
    <w:rsid w:val="00CE02BE"/>
    <w:rsid w:val="00CE0761"/>
    <w:rsid w:val="00CE0CFC"/>
    <w:rsid w:val="00CE0FCE"/>
    <w:rsid w:val="00CE1B0E"/>
    <w:rsid w:val="00CE2AB9"/>
    <w:rsid w:val="00CE3AF4"/>
    <w:rsid w:val="00CE6B6A"/>
    <w:rsid w:val="00CE766C"/>
    <w:rsid w:val="00CE7883"/>
    <w:rsid w:val="00CF0599"/>
    <w:rsid w:val="00CF05E6"/>
    <w:rsid w:val="00CF0FC7"/>
    <w:rsid w:val="00CF1112"/>
    <w:rsid w:val="00CF18D1"/>
    <w:rsid w:val="00CF1B46"/>
    <w:rsid w:val="00CF28A8"/>
    <w:rsid w:val="00CF2951"/>
    <w:rsid w:val="00CF2E83"/>
    <w:rsid w:val="00CF6043"/>
    <w:rsid w:val="00CF62F7"/>
    <w:rsid w:val="00CF73F0"/>
    <w:rsid w:val="00D01A8D"/>
    <w:rsid w:val="00D01D67"/>
    <w:rsid w:val="00D0323F"/>
    <w:rsid w:val="00D03606"/>
    <w:rsid w:val="00D03C0A"/>
    <w:rsid w:val="00D03FBE"/>
    <w:rsid w:val="00D043AD"/>
    <w:rsid w:val="00D05072"/>
    <w:rsid w:val="00D05833"/>
    <w:rsid w:val="00D05C74"/>
    <w:rsid w:val="00D066E6"/>
    <w:rsid w:val="00D0671C"/>
    <w:rsid w:val="00D07402"/>
    <w:rsid w:val="00D07405"/>
    <w:rsid w:val="00D10984"/>
    <w:rsid w:val="00D118EF"/>
    <w:rsid w:val="00D12794"/>
    <w:rsid w:val="00D12B19"/>
    <w:rsid w:val="00D12FA5"/>
    <w:rsid w:val="00D14418"/>
    <w:rsid w:val="00D15A1D"/>
    <w:rsid w:val="00D15D65"/>
    <w:rsid w:val="00D1725C"/>
    <w:rsid w:val="00D20581"/>
    <w:rsid w:val="00D20BFA"/>
    <w:rsid w:val="00D2131F"/>
    <w:rsid w:val="00D217C4"/>
    <w:rsid w:val="00D21CAD"/>
    <w:rsid w:val="00D22C12"/>
    <w:rsid w:val="00D23AD4"/>
    <w:rsid w:val="00D23C0E"/>
    <w:rsid w:val="00D24EEB"/>
    <w:rsid w:val="00D25389"/>
    <w:rsid w:val="00D26D2C"/>
    <w:rsid w:val="00D273A0"/>
    <w:rsid w:val="00D27404"/>
    <w:rsid w:val="00D32934"/>
    <w:rsid w:val="00D3316B"/>
    <w:rsid w:val="00D33393"/>
    <w:rsid w:val="00D33815"/>
    <w:rsid w:val="00D34996"/>
    <w:rsid w:val="00D35C8B"/>
    <w:rsid w:val="00D36726"/>
    <w:rsid w:val="00D369ED"/>
    <w:rsid w:val="00D36FDB"/>
    <w:rsid w:val="00D3733E"/>
    <w:rsid w:val="00D41AC0"/>
    <w:rsid w:val="00D431A5"/>
    <w:rsid w:val="00D43328"/>
    <w:rsid w:val="00D43C21"/>
    <w:rsid w:val="00D44578"/>
    <w:rsid w:val="00D45A2B"/>
    <w:rsid w:val="00D4779C"/>
    <w:rsid w:val="00D51860"/>
    <w:rsid w:val="00D51B0E"/>
    <w:rsid w:val="00D52F58"/>
    <w:rsid w:val="00D533A7"/>
    <w:rsid w:val="00D53750"/>
    <w:rsid w:val="00D540FB"/>
    <w:rsid w:val="00D553D4"/>
    <w:rsid w:val="00D55EAA"/>
    <w:rsid w:val="00D5600A"/>
    <w:rsid w:val="00D56664"/>
    <w:rsid w:val="00D611E0"/>
    <w:rsid w:val="00D61854"/>
    <w:rsid w:val="00D61B2E"/>
    <w:rsid w:val="00D62748"/>
    <w:rsid w:val="00D637FF"/>
    <w:rsid w:val="00D64423"/>
    <w:rsid w:val="00D64B66"/>
    <w:rsid w:val="00D651A0"/>
    <w:rsid w:val="00D65A3B"/>
    <w:rsid w:val="00D661FC"/>
    <w:rsid w:val="00D66612"/>
    <w:rsid w:val="00D7005A"/>
    <w:rsid w:val="00D72346"/>
    <w:rsid w:val="00D74B04"/>
    <w:rsid w:val="00D75CE9"/>
    <w:rsid w:val="00D76D51"/>
    <w:rsid w:val="00D776E3"/>
    <w:rsid w:val="00D7771B"/>
    <w:rsid w:val="00D80DE6"/>
    <w:rsid w:val="00D825B1"/>
    <w:rsid w:val="00D82768"/>
    <w:rsid w:val="00D83E43"/>
    <w:rsid w:val="00D83EF2"/>
    <w:rsid w:val="00D84931"/>
    <w:rsid w:val="00D86BE4"/>
    <w:rsid w:val="00D87A8C"/>
    <w:rsid w:val="00D92796"/>
    <w:rsid w:val="00D9297B"/>
    <w:rsid w:val="00D9300E"/>
    <w:rsid w:val="00D93211"/>
    <w:rsid w:val="00D9339C"/>
    <w:rsid w:val="00D93FBF"/>
    <w:rsid w:val="00D954B9"/>
    <w:rsid w:val="00D95598"/>
    <w:rsid w:val="00D95686"/>
    <w:rsid w:val="00D9694D"/>
    <w:rsid w:val="00DA2C51"/>
    <w:rsid w:val="00DA35A7"/>
    <w:rsid w:val="00DA476A"/>
    <w:rsid w:val="00DA5091"/>
    <w:rsid w:val="00DA6EC0"/>
    <w:rsid w:val="00DB04D1"/>
    <w:rsid w:val="00DB1C54"/>
    <w:rsid w:val="00DB336D"/>
    <w:rsid w:val="00DB4A9B"/>
    <w:rsid w:val="00DB69A4"/>
    <w:rsid w:val="00DB6A14"/>
    <w:rsid w:val="00DC0288"/>
    <w:rsid w:val="00DC04B6"/>
    <w:rsid w:val="00DC053C"/>
    <w:rsid w:val="00DC10F7"/>
    <w:rsid w:val="00DC3166"/>
    <w:rsid w:val="00DC34BC"/>
    <w:rsid w:val="00DC35CE"/>
    <w:rsid w:val="00DC40E4"/>
    <w:rsid w:val="00DC5902"/>
    <w:rsid w:val="00DC5B1D"/>
    <w:rsid w:val="00DC650A"/>
    <w:rsid w:val="00DD0908"/>
    <w:rsid w:val="00DD09B9"/>
    <w:rsid w:val="00DD0CB0"/>
    <w:rsid w:val="00DD2CD7"/>
    <w:rsid w:val="00DD2D2D"/>
    <w:rsid w:val="00DD2E82"/>
    <w:rsid w:val="00DD6E17"/>
    <w:rsid w:val="00DE059C"/>
    <w:rsid w:val="00DE1834"/>
    <w:rsid w:val="00DE23FF"/>
    <w:rsid w:val="00DE24E8"/>
    <w:rsid w:val="00DE2527"/>
    <w:rsid w:val="00DE2E6C"/>
    <w:rsid w:val="00DE32AD"/>
    <w:rsid w:val="00DE33EB"/>
    <w:rsid w:val="00DE44C0"/>
    <w:rsid w:val="00DE540D"/>
    <w:rsid w:val="00DE64A1"/>
    <w:rsid w:val="00DE64F5"/>
    <w:rsid w:val="00DE6D9E"/>
    <w:rsid w:val="00DE7D61"/>
    <w:rsid w:val="00DF02AA"/>
    <w:rsid w:val="00DF02FC"/>
    <w:rsid w:val="00DF0653"/>
    <w:rsid w:val="00DF073A"/>
    <w:rsid w:val="00DF0D8B"/>
    <w:rsid w:val="00DF1453"/>
    <w:rsid w:val="00DF2B4E"/>
    <w:rsid w:val="00DF400E"/>
    <w:rsid w:val="00DF58ED"/>
    <w:rsid w:val="00DF6128"/>
    <w:rsid w:val="00DF6A09"/>
    <w:rsid w:val="00DF7065"/>
    <w:rsid w:val="00E0047D"/>
    <w:rsid w:val="00E00A74"/>
    <w:rsid w:val="00E01672"/>
    <w:rsid w:val="00E0170C"/>
    <w:rsid w:val="00E03565"/>
    <w:rsid w:val="00E0372E"/>
    <w:rsid w:val="00E03817"/>
    <w:rsid w:val="00E0409B"/>
    <w:rsid w:val="00E040FB"/>
    <w:rsid w:val="00E04B44"/>
    <w:rsid w:val="00E05210"/>
    <w:rsid w:val="00E0587A"/>
    <w:rsid w:val="00E05973"/>
    <w:rsid w:val="00E060E5"/>
    <w:rsid w:val="00E0648B"/>
    <w:rsid w:val="00E069EE"/>
    <w:rsid w:val="00E10699"/>
    <w:rsid w:val="00E1177B"/>
    <w:rsid w:val="00E1473C"/>
    <w:rsid w:val="00E16570"/>
    <w:rsid w:val="00E16C33"/>
    <w:rsid w:val="00E16EC4"/>
    <w:rsid w:val="00E170D1"/>
    <w:rsid w:val="00E17A17"/>
    <w:rsid w:val="00E17B10"/>
    <w:rsid w:val="00E209B5"/>
    <w:rsid w:val="00E209FE"/>
    <w:rsid w:val="00E22076"/>
    <w:rsid w:val="00E221CA"/>
    <w:rsid w:val="00E22292"/>
    <w:rsid w:val="00E23B59"/>
    <w:rsid w:val="00E24C91"/>
    <w:rsid w:val="00E25806"/>
    <w:rsid w:val="00E265D5"/>
    <w:rsid w:val="00E267FF"/>
    <w:rsid w:val="00E26CAB"/>
    <w:rsid w:val="00E26E9E"/>
    <w:rsid w:val="00E277BD"/>
    <w:rsid w:val="00E278BE"/>
    <w:rsid w:val="00E27A6B"/>
    <w:rsid w:val="00E27C8E"/>
    <w:rsid w:val="00E27FC4"/>
    <w:rsid w:val="00E30C97"/>
    <w:rsid w:val="00E31285"/>
    <w:rsid w:val="00E318BD"/>
    <w:rsid w:val="00E32139"/>
    <w:rsid w:val="00E3301A"/>
    <w:rsid w:val="00E33F5F"/>
    <w:rsid w:val="00E34111"/>
    <w:rsid w:val="00E34F85"/>
    <w:rsid w:val="00E36746"/>
    <w:rsid w:val="00E37310"/>
    <w:rsid w:val="00E3774F"/>
    <w:rsid w:val="00E40C72"/>
    <w:rsid w:val="00E42CF8"/>
    <w:rsid w:val="00E42D2C"/>
    <w:rsid w:val="00E43645"/>
    <w:rsid w:val="00E43DDA"/>
    <w:rsid w:val="00E43F3F"/>
    <w:rsid w:val="00E447EF"/>
    <w:rsid w:val="00E4527D"/>
    <w:rsid w:val="00E45C06"/>
    <w:rsid w:val="00E45C3B"/>
    <w:rsid w:val="00E46FAF"/>
    <w:rsid w:val="00E473ED"/>
    <w:rsid w:val="00E503A0"/>
    <w:rsid w:val="00E504E4"/>
    <w:rsid w:val="00E509D3"/>
    <w:rsid w:val="00E50EF6"/>
    <w:rsid w:val="00E51748"/>
    <w:rsid w:val="00E51D3F"/>
    <w:rsid w:val="00E51E4D"/>
    <w:rsid w:val="00E53C68"/>
    <w:rsid w:val="00E53FDD"/>
    <w:rsid w:val="00E57174"/>
    <w:rsid w:val="00E57342"/>
    <w:rsid w:val="00E615BF"/>
    <w:rsid w:val="00E620F0"/>
    <w:rsid w:val="00E62889"/>
    <w:rsid w:val="00E62FC6"/>
    <w:rsid w:val="00E6347F"/>
    <w:rsid w:val="00E644A5"/>
    <w:rsid w:val="00E649B0"/>
    <w:rsid w:val="00E672D0"/>
    <w:rsid w:val="00E67A5D"/>
    <w:rsid w:val="00E7067F"/>
    <w:rsid w:val="00E71DF2"/>
    <w:rsid w:val="00E72794"/>
    <w:rsid w:val="00E72C26"/>
    <w:rsid w:val="00E730AD"/>
    <w:rsid w:val="00E73C56"/>
    <w:rsid w:val="00E75637"/>
    <w:rsid w:val="00E75C90"/>
    <w:rsid w:val="00E77B24"/>
    <w:rsid w:val="00E80DE3"/>
    <w:rsid w:val="00E81610"/>
    <w:rsid w:val="00E8172A"/>
    <w:rsid w:val="00E82E22"/>
    <w:rsid w:val="00E82ED7"/>
    <w:rsid w:val="00E835D2"/>
    <w:rsid w:val="00E84AC6"/>
    <w:rsid w:val="00E87BFA"/>
    <w:rsid w:val="00E87E25"/>
    <w:rsid w:val="00E9052C"/>
    <w:rsid w:val="00E9063F"/>
    <w:rsid w:val="00E9214B"/>
    <w:rsid w:val="00E93FCD"/>
    <w:rsid w:val="00E9449A"/>
    <w:rsid w:val="00E97AF4"/>
    <w:rsid w:val="00E97ECD"/>
    <w:rsid w:val="00EA00E5"/>
    <w:rsid w:val="00EA0949"/>
    <w:rsid w:val="00EA0BF8"/>
    <w:rsid w:val="00EA1C80"/>
    <w:rsid w:val="00EA1FB5"/>
    <w:rsid w:val="00EA2127"/>
    <w:rsid w:val="00EA2929"/>
    <w:rsid w:val="00EA2E32"/>
    <w:rsid w:val="00EA4BC6"/>
    <w:rsid w:val="00EA5D63"/>
    <w:rsid w:val="00EA6639"/>
    <w:rsid w:val="00EA6B8E"/>
    <w:rsid w:val="00EA6F72"/>
    <w:rsid w:val="00EA77E2"/>
    <w:rsid w:val="00EA7CBD"/>
    <w:rsid w:val="00EB0302"/>
    <w:rsid w:val="00EB03C4"/>
    <w:rsid w:val="00EB1A2C"/>
    <w:rsid w:val="00EB1D8E"/>
    <w:rsid w:val="00EB27D5"/>
    <w:rsid w:val="00EB2814"/>
    <w:rsid w:val="00EB2D54"/>
    <w:rsid w:val="00EB2FD4"/>
    <w:rsid w:val="00EB3041"/>
    <w:rsid w:val="00EB4C82"/>
    <w:rsid w:val="00EB5B90"/>
    <w:rsid w:val="00EB643E"/>
    <w:rsid w:val="00EB6BAB"/>
    <w:rsid w:val="00EB729A"/>
    <w:rsid w:val="00EC1C8C"/>
    <w:rsid w:val="00EC212C"/>
    <w:rsid w:val="00EC2A56"/>
    <w:rsid w:val="00EC2E09"/>
    <w:rsid w:val="00EC3955"/>
    <w:rsid w:val="00EC3F23"/>
    <w:rsid w:val="00EC4120"/>
    <w:rsid w:val="00EC467C"/>
    <w:rsid w:val="00EC5BE1"/>
    <w:rsid w:val="00EC7E7A"/>
    <w:rsid w:val="00ED0211"/>
    <w:rsid w:val="00ED05E1"/>
    <w:rsid w:val="00ED2190"/>
    <w:rsid w:val="00ED2E43"/>
    <w:rsid w:val="00ED3E26"/>
    <w:rsid w:val="00ED467F"/>
    <w:rsid w:val="00ED50B0"/>
    <w:rsid w:val="00ED67C2"/>
    <w:rsid w:val="00ED6BA4"/>
    <w:rsid w:val="00ED6FB6"/>
    <w:rsid w:val="00ED77E4"/>
    <w:rsid w:val="00ED7B47"/>
    <w:rsid w:val="00EE0C16"/>
    <w:rsid w:val="00EE143F"/>
    <w:rsid w:val="00EE205D"/>
    <w:rsid w:val="00EE24FE"/>
    <w:rsid w:val="00EE2EB8"/>
    <w:rsid w:val="00EE304D"/>
    <w:rsid w:val="00EE3374"/>
    <w:rsid w:val="00EE33C5"/>
    <w:rsid w:val="00EE360D"/>
    <w:rsid w:val="00EE3E06"/>
    <w:rsid w:val="00EE488A"/>
    <w:rsid w:val="00EE4FFB"/>
    <w:rsid w:val="00EE5710"/>
    <w:rsid w:val="00EE57C4"/>
    <w:rsid w:val="00EE5DBE"/>
    <w:rsid w:val="00EE69D2"/>
    <w:rsid w:val="00EE71BB"/>
    <w:rsid w:val="00EF061B"/>
    <w:rsid w:val="00EF0B90"/>
    <w:rsid w:val="00EF3100"/>
    <w:rsid w:val="00EF392F"/>
    <w:rsid w:val="00EF4BAD"/>
    <w:rsid w:val="00EF6679"/>
    <w:rsid w:val="00F00ADA"/>
    <w:rsid w:val="00F020E0"/>
    <w:rsid w:val="00F02CAE"/>
    <w:rsid w:val="00F0375F"/>
    <w:rsid w:val="00F0489A"/>
    <w:rsid w:val="00F052A9"/>
    <w:rsid w:val="00F05AFF"/>
    <w:rsid w:val="00F07DC0"/>
    <w:rsid w:val="00F10981"/>
    <w:rsid w:val="00F10C28"/>
    <w:rsid w:val="00F10C9C"/>
    <w:rsid w:val="00F112C6"/>
    <w:rsid w:val="00F11803"/>
    <w:rsid w:val="00F11A3D"/>
    <w:rsid w:val="00F11AD8"/>
    <w:rsid w:val="00F11EC1"/>
    <w:rsid w:val="00F12DC9"/>
    <w:rsid w:val="00F12FF6"/>
    <w:rsid w:val="00F14607"/>
    <w:rsid w:val="00F14A5F"/>
    <w:rsid w:val="00F15133"/>
    <w:rsid w:val="00F16774"/>
    <w:rsid w:val="00F16DE8"/>
    <w:rsid w:val="00F20C1F"/>
    <w:rsid w:val="00F212B3"/>
    <w:rsid w:val="00F2196E"/>
    <w:rsid w:val="00F21EEC"/>
    <w:rsid w:val="00F239A9"/>
    <w:rsid w:val="00F2447F"/>
    <w:rsid w:val="00F25366"/>
    <w:rsid w:val="00F25475"/>
    <w:rsid w:val="00F259D3"/>
    <w:rsid w:val="00F266E4"/>
    <w:rsid w:val="00F27013"/>
    <w:rsid w:val="00F30B07"/>
    <w:rsid w:val="00F30C4E"/>
    <w:rsid w:val="00F311C7"/>
    <w:rsid w:val="00F32B85"/>
    <w:rsid w:val="00F32EC7"/>
    <w:rsid w:val="00F34EB0"/>
    <w:rsid w:val="00F34FFF"/>
    <w:rsid w:val="00F35A0F"/>
    <w:rsid w:val="00F3676F"/>
    <w:rsid w:val="00F4114D"/>
    <w:rsid w:val="00F41916"/>
    <w:rsid w:val="00F41D0E"/>
    <w:rsid w:val="00F432B7"/>
    <w:rsid w:val="00F44AB0"/>
    <w:rsid w:val="00F45056"/>
    <w:rsid w:val="00F451FD"/>
    <w:rsid w:val="00F4586F"/>
    <w:rsid w:val="00F47C67"/>
    <w:rsid w:val="00F47D9B"/>
    <w:rsid w:val="00F5072D"/>
    <w:rsid w:val="00F512CB"/>
    <w:rsid w:val="00F51634"/>
    <w:rsid w:val="00F52076"/>
    <w:rsid w:val="00F522A3"/>
    <w:rsid w:val="00F54144"/>
    <w:rsid w:val="00F5423E"/>
    <w:rsid w:val="00F5435B"/>
    <w:rsid w:val="00F5497E"/>
    <w:rsid w:val="00F55B47"/>
    <w:rsid w:val="00F579F2"/>
    <w:rsid w:val="00F57DA4"/>
    <w:rsid w:val="00F57FFD"/>
    <w:rsid w:val="00F61F3A"/>
    <w:rsid w:val="00F61FF9"/>
    <w:rsid w:val="00F6345F"/>
    <w:rsid w:val="00F640B0"/>
    <w:rsid w:val="00F64B6E"/>
    <w:rsid w:val="00F650CA"/>
    <w:rsid w:val="00F653AC"/>
    <w:rsid w:val="00F657F1"/>
    <w:rsid w:val="00F65A6F"/>
    <w:rsid w:val="00F65C1A"/>
    <w:rsid w:val="00F65C73"/>
    <w:rsid w:val="00F65E15"/>
    <w:rsid w:val="00F66A2F"/>
    <w:rsid w:val="00F67042"/>
    <w:rsid w:val="00F67E51"/>
    <w:rsid w:val="00F70657"/>
    <w:rsid w:val="00F707F3"/>
    <w:rsid w:val="00F71D47"/>
    <w:rsid w:val="00F72E80"/>
    <w:rsid w:val="00F72F31"/>
    <w:rsid w:val="00F73299"/>
    <w:rsid w:val="00F732B5"/>
    <w:rsid w:val="00F73B33"/>
    <w:rsid w:val="00F73B80"/>
    <w:rsid w:val="00F73E68"/>
    <w:rsid w:val="00F73EBE"/>
    <w:rsid w:val="00F75D7E"/>
    <w:rsid w:val="00F76DA8"/>
    <w:rsid w:val="00F77A05"/>
    <w:rsid w:val="00F80C67"/>
    <w:rsid w:val="00F8158C"/>
    <w:rsid w:val="00F823B0"/>
    <w:rsid w:val="00F838BC"/>
    <w:rsid w:val="00F83EF5"/>
    <w:rsid w:val="00F84CA5"/>
    <w:rsid w:val="00F90145"/>
    <w:rsid w:val="00F90665"/>
    <w:rsid w:val="00F90F8E"/>
    <w:rsid w:val="00F919CC"/>
    <w:rsid w:val="00F91D54"/>
    <w:rsid w:val="00F91EA2"/>
    <w:rsid w:val="00F91F20"/>
    <w:rsid w:val="00F91FDC"/>
    <w:rsid w:val="00F92155"/>
    <w:rsid w:val="00F939E3"/>
    <w:rsid w:val="00F94476"/>
    <w:rsid w:val="00F94D9A"/>
    <w:rsid w:val="00F96099"/>
    <w:rsid w:val="00F96336"/>
    <w:rsid w:val="00F965BD"/>
    <w:rsid w:val="00F96651"/>
    <w:rsid w:val="00F9701E"/>
    <w:rsid w:val="00F9766E"/>
    <w:rsid w:val="00FA012C"/>
    <w:rsid w:val="00FA0150"/>
    <w:rsid w:val="00FA02DA"/>
    <w:rsid w:val="00FA0508"/>
    <w:rsid w:val="00FA0A41"/>
    <w:rsid w:val="00FA0C64"/>
    <w:rsid w:val="00FA2619"/>
    <w:rsid w:val="00FA2F98"/>
    <w:rsid w:val="00FA3522"/>
    <w:rsid w:val="00FA376E"/>
    <w:rsid w:val="00FA3C90"/>
    <w:rsid w:val="00FA4149"/>
    <w:rsid w:val="00FA49DB"/>
    <w:rsid w:val="00FA4F21"/>
    <w:rsid w:val="00FA522A"/>
    <w:rsid w:val="00FA7424"/>
    <w:rsid w:val="00FA7BCF"/>
    <w:rsid w:val="00FB14B9"/>
    <w:rsid w:val="00FB26C3"/>
    <w:rsid w:val="00FB2B37"/>
    <w:rsid w:val="00FB46A9"/>
    <w:rsid w:val="00FB4C61"/>
    <w:rsid w:val="00FB4FBC"/>
    <w:rsid w:val="00FB5692"/>
    <w:rsid w:val="00FB5A7B"/>
    <w:rsid w:val="00FB6632"/>
    <w:rsid w:val="00FB68EC"/>
    <w:rsid w:val="00FB6DA6"/>
    <w:rsid w:val="00FB6E50"/>
    <w:rsid w:val="00FB740C"/>
    <w:rsid w:val="00FC0025"/>
    <w:rsid w:val="00FC0161"/>
    <w:rsid w:val="00FC270E"/>
    <w:rsid w:val="00FC2AF3"/>
    <w:rsid w:val="00FC3D53"/>
    <w:rsid w:val="00FC4C21"/>
    <w:rsid w:val="00FC5D39"/>
    <w:rsid w:val="00FC5EC6"/>
    <w:rsid w:val="00FC75AA"/>
    <w:rsid w:val="00FC7DCC"/>
    <w:rsid w:val="00FD0827"/>
    <w:rsid w:val="00FD0FBC"/>
    <w:rsid w:val="00FD1114"/>
    <w:rsid w:val="00FD2226"/>
    <w:rsid w:val="00FD2558"/>
    <w:rsid w:val="00FD257D"/>
    <w:rsid w:val="00FD3128"/>
    <w:rsid w:val="00FD4001"/>
    <w:rsid w:val="00FD6B0B"/>
    <w:rsid w:val="00FD7362"/>
    <w:rsid w:val="00FE05DB"/>
    <w:rsid w:val="00FE0B76"/>
    <w:rsid w:val="00FE392A"/>
    <w:rsid w:val="00FE4762"/>
    <w:rsid w:val="00FE482F"/>
    <w:rsid w:val="00FE4A52"/>
    <w:rsid w:val="00FE5D18"/>
    <w:rsid w:val="00FE626F"/>
    <w:rsid w:val="00FE680D"/>
    <w:rsid w:val="00FE7476"/>
    <w:rsid w:val="00FF095C"/>
    <w:rsid w:val="00FF0D35"/>
    <w:rsid w:val="00FF1962"/>
    <w:rsid w:val="00FF24E6"/>
    <w:rsid w:val="00FF2717"/>
    <w:rsid w:val="00FF3E0F"/>
    <w:rsid w:val="00FF42C7"/>
    <w:rsid w:val="00FF5E37"/>
    <w:rsid w:val="00FF6871"/>
    <w:rsid w:val="00FF68BF"/>
    <w:rsid w:val="00FF710D"/>
    <w:rsid w:val="01295D45"/>
    <w:rsid w:val="018667F5"/>
    <w:rsid w:val="01E01BE1"/>
    <w:rsid w:val="02213EB6"/>
    <w:rsid w:val="02AE14B5"/>
    <w:rsid w:val="030E0FDC"/>
    <w:rsid w:val="03245133"/>
    <w:rsid w:val="049140B2"/>
    <w:rsid w:val="04F274E1"/>
    <w:rsid w:val="04F605DD"/>
    <w:rsid w:val="04FA7E44"/>
    <w:rsid w:val="05085F81"/>
    <w:rsid w:val="05CB00F7"/>
    <w:rsid w:val="05F16D29"/>
    <w:rsid w:val="06C32C6D"/>
    <w:rsid w:val="07091BD9"/>
    <w:rsid w:val="07F94514"/>
    <w:rsid w:val="08393F6E"/>
    <w:rsid w:val="08B25362"/>
    <w:rsid w:val="09752459"/>
    <w:rsid w:val="0A0A3571"/>
    <w:rsid w:val="0A4222AE"/>
    <w:rsid w:val="0A8F5BF6"/>
    <w:rsid w:val="0AE716E6"/>
    <w:rsid w:val="0B271E36"/>
    <w:rsid w:val="0B5D608D"/>
    <w:rsid w:val="0BA20A97"/>
    <w:rsid w:val="0BC06DC3"/>
    <w:rsid w:val="0C200062"/>
    <w:rsid w:val="0C402661"/>
    <w:rsid w:val="0DC62997"/>
    <w:rsid w:val="0DE46A4B"/>
    <w:rsid w:val="0EE639A5"/>
    <w:rsid w:val="101F65DA"/>
    <w:rsid w:val="107005FA"/>
    <w:rsid w:val="11972D7B"/>
    <w:rsid w:val="11A14DAA"/>
    <w:rsid w:val="127863EF"/>
    <w:rsid w:val="12A02441"/>
    <w:rsid w:val="13580BC2"/>
    <w:rsid w:val="13660647"/>
    <w:rsid w:val="138E69F5"/>
    <w:rsid w:val="13D73A21"/>
    <w:rsid w:val="13E27A94"/>
    <w:rsid w:val="143A1A29"/>
    <w:rsid w:val="1492318D"/>
    <w:rsid w:val="16C73975"/>
    <w:rsid w:val="16CD1AFE"/>
    <w:rsid w:val="170B0C49"/>
    <w:rsid w:val="19454A99"/>
    <w:rsid w:val="19EC7350"/>
    <w:rsid w:val="1B056BD9"/>
    <w:rsid w:val="1B220254"/>
    <w:rsid w:val="1C4450A8"/>
    <w:rsid w:val="1CE51145"/>
    <w:rsid w:val="1D173330"/>
    <w:rsid w:val="1DAC23AD"/>
    <w:rsid w:val="1DD91446"/>
    <w:rsid w:val="1E002053"/>
    <w:rsid w:val="1E657041"/>
    <w:rsid w:val="1EEE0A22"/>
    <w:rsid w:val="1F980DFF"/>
    <w:rsid w:val="20770293"/>
    <w:rsid w:val="20CF5FF1"/>
    <w:rsid w:val="20ED60E9"/>
    <w:rsid w:val="23363623"/>
    <w:rsid w:val="238A6385"/>
    <w:rsid w:val="248456AB"/>
    <w:rsid w:val="24906EA9"/>
    <w:rsid w:val="24C82F21"/>
    <w:rsid w:val="24FA10C8"/>
    <w:rsid w:val="251376CB"/>
    <w:rsid w:val="25435D24"/>
    <w:rsid w:val="2572420D"/>
    <w:rsid w:val="25921E30"/>
    <w:rsid w:val="26B0714F"/>
    <w:rsid w:val="26DC02B0"/>
    <w:rsid w:val="26EB339F"/>
    <w:rsid w:val="27060B3E"/>
    <w:rsid w:val="271B4B69"/>
    <w:rsid w:val="27B004C0"/>
    <w:rsid w:val="280B2AA4"/>
    <w:rsid w:val="28A44862"/>
    <w:rsid w:val="28C9453E"/>
    <w:rsid w:val="291B447D"/>
    <w:rsid w:val="291C703C"/>
    <w:rsid w:val="292828A4"/>
    <w:rsid w:val="29F07A39"/>
    <w:rsid w:val="2A976182"/>
    <w:rsid w:val="2AE9761A"/>
    <w:rsid w:val="2BBB574A"/>
    <w:rsid w:val="2C2A7225"/>
    <w:rsid w:val="2E2C28F1"/>
    <w:rsid w:val="2E55544C"/>
    <w:rsid w:val="2EA667C4"/>
    <w:rsid w:val="2F1538FF"/>
    <w:rsid w:val="2F693A41"/>
    <w:rsid w:val="2F8B6CFB"/>
    <w:rsid w:val="30A1765D"/>
    <w:rsid w:val="320C63F3"/>
    <w:rsid w:val="32A31961"/>
    <w:rsid w:val="32FA6708"/>
    <w:rsid w:val="33760347"/>
    <w:rsid w:val="33D41006"/>
    <w:rsid w:val="343C185A"/>
    <w:rsid w:val="34F57C5D"/>
    <w:rsid w:val="35056E71"/>
    <w:rsid w:val="35101B44"/>
    <w:rsid w:val="363C232E"/>
    <w:rsid w:val="36575C52"/>
    <w:rsid w:val="37595EF4"/>
    <w:rsid w:val="378159E4"/>
    <w:rsid w:val="393C161A"/>
    <w:rsid w:val="3A9738A6"/>
    <w:rsid w:val="3B3B2D56"/>
    <w:rsid w:val="3B447542"/>
    <w:rsid w:val="3B4A6DD1"/>
    <w:rsid w:val="3B6925DE"/>
    <w:rsid w:val="3BDD2B78"/>
    <w:rsid w:val="3BE63C13"/>
    <w:rsid w:val="3C145EE5"/>
    <w:rsid w:val="3C454081"/>
    <w:rsid w:val="3D9E7C11"/>
    <w:rsid w:val="3DD04C6F"/>
    <w:rsid w:val="3E3651B8"/>
    <w:rsid w:val="3E9E4385"/>
    <w:rsid w:val="3ECD6DA5"/>
    <w:rsid w:val="3F271FEA"/>
    <w:rsid w:val="4050757C"/>
    <w:rsid w:val="4053032D"/>
    <w:rsid w:val="41D84C14"/>
    <w:rsid w:val="422C323F"/>
    <w:rsid w:val="431E184B"/>
    <w:rsid w:val="43366EA3"/>
    <w:rsid w:val="4533424F"/>
    <w:rsid w:val="45D17CB2"/>
    <w:rsid w:val="461A49DA"/>
    <w:rsid w:val="467A5BA4"/>
    <w:rsid w:val="481757ED"/>
    <w:rsid w:val="483B50A2"/>
    <w:rsid w:val="48CD3F5C"/>
    <w:rsid w:val="48DE4AED"/>
    <w:rsid w:val="49FA1E49"/>
    <w:rsid w:val="4A7540A1"/>
    <w:rsid w:val="4AA5060F"/>
    <w:rsid w:val="4B3E3B52"/>
    <w:rsid w:val="4B65680A"/>
    <w:rsid w:val="4C745105"/>
    <w:rsid w:val="4CA55831"/>
    <w:rsid w:val="4CC75D70"/>
    <w:rsid w:val="4D614390"/>
    <w:rsid w:val="4D7928DE"/>
    <w:rsid w:val="4D926B6A"/>
    <w:rsid w:val="4DD32A37"/>
    <w:rsid w:val="4E0C7C8C"/>
    <w:rsid w:val="4EA77860"/>
    <w:rsid w:val="4EBF1CA2"/>
    <w:rsid w:val="4F2C2859"/>
    <w:rsid w:val="4FD2055A"/>
    <w:rsid w:val="50536DDD"/>
    <w:rsid w:val="518F068A"/>
    <w:rsid w:val="527F58CB"/>
    <w:rsid w:val="528E650B"/>
    <w:rsid w:val="52B13834"/>
    <w:rsid w:val="52CC7A7E"/>
    <w:rsid w:val="53120305"/>
    <w:rsid w:val="54352147"/>
    <w:rsid w:val="54CF2597"/>
    <w:rsid w:val="556434F6"/>
    <w:rsid w:val="565D2182"/>
    <w:rsid w:val="566574FA"/>
    <w:rsid w:val="571C79AC"/>
    <w:rsid w:val="58590F92"/>
    <w:rsid w:val="58EF2537"/>
    <w:rsid w:val="58FE5082"/>
    <w:rsid w:val="595B5F9C"/>
    <w:rsid w:val="597E1BDF"/>
    <w:rsid w:val="5AAD23B1"/>
    <w:rsid w:val="5CB72433"/>
    <w:rsid w:val="5CDD2888"/>
    <w:rsid w:val="5D7317E8"/>
    <w:rsid w:val="5E3A148C"/>
    <w:rsid w:val="5EE77E5D"/>
    <w:rsid w:val="5F4633F5"/>
    <w:rsid w:val="60C05982"/>
    <w:rsid w:val="61FF3875"/>
    <w:rsid w:val="621B49E7"/>
    <w:rsid w:val="62275184"/>
    <w:rsid w:val="62930CD9"/>
    <w:rsid w:val="63D85CB9"/>
    <w:rsid w:val="64811559"/>
    <w:rsid w:val="650319B9"/>
    <w:rsid w:val="65497463"/>
    <w:rsid w:val="65947773"/>
    <w:rsid w:val="65E84C70"/>
    <w:rsid w:val="667653E6"/>
    <w:rsid w:val="6869454C"/>
    <w:rsid w:val="6937702D"/>
    <w:rsid w:val="69783D53"/>
    <w:rsid w:val="698238BA"/>
    <w:rsid w:val="69896F14"/>
    <w:rsid w:val="699D2A8A"/>
    <w:rsid w:val="69C26FF1"/>
    <w:rsid w:val="6A2C4344"/>
    <w:rsid w:val="6AFF190A"/>
    <w:rsid w:val="6B60297D"/>
    <w:rsid w:val="6C405377"/>
    <w:rsid w:val="6C4C037F"/>
    <w:rsid w:val="6E0F2FA9"/>
    <w:rsid w:val="6E896D2C"/>
    <w:rsid w:val="6ED2215A"/>
    <w:rsid w:val="6F3E51D9"/>
    <w:rsid w:val="70E33222"/>
    <w:rsid w:val="71750D6A"/>
    <w:rsid w:val="718E0DBC"/>
    <w:rsid w:val="7198212F"/>
    <w:rsid w:val="7205587C"/>
    <w:rsid w:val="73587B8E"/>
    <w:rsid w:val="7536098E"/>
    <w:rsid w:val="76EC7A4C"/>
    <w:rsid w:val="770140BA"/>
    <w:rsid w:val="788E7466"/>
    <w:rsid w:val="78D02263"/>
    <w:rsid w:val="79817041"/>
    <w:rsid w:val="7A9C6F89"/>
    <w:rsid w:val="7A9E771A"/>
    <w:rsid w:val="7AAC6960"/>
    <w:rsid w:val="7ABE64D1"/>
    <w:rsid w:val="7CB0679A"/>
    <w:rsid w:val="7CBE00D8"/>
    <w:rsid w:val="7F33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qFormat="1" w:unhideWhenUsed="0" w:uiPriority="99" w:semiHidden="0" w:name="Table Classic 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qFormat/>
    <w:uiPriority w:val="99"/>
    <w:pPr>
      <w:keepNext/>
      <w:keepLines/>
      <w:spacing w:before="240" w:after="120" w:line="360" w:lineRule="auto"/>
      <w:outlineLvl w:val="1"/>
    </w:pPr>
    <w:rPr>
      <w:rFonts w:ascii="Arial" w:hAnsi="Arial" w:eastAsia="创艺简标宋"/>
      <w:b/>
      <w:bCs/>
      <w:sz w:val="32"/>
      <w:szCs w:val="32"/>
    </w:rPr>
  </w:style>
  <w:style w:type="paragraph" w:styleId="4">
    <w:name w:val="heading 3"/>
    <w:basedOn w:val="1"/>
    <w:next w:val="1"/>
    <w:link w:val="42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3"/>
    <w:qFormat/>
    <w:uiPriority w:val="99"/>
    <w:pPr>
      <w:keepNext/>
      <w:spacing w:line="240" w:lineRule="atLeast"/>
      <w:jc w:val="center"/>
      <w:outlineLvl w:val="3"/>
    </w:pPr>
    <w:rPr>
      <w:rFonts w:ascii="Arial" w:hAnsi="Arial" w:cs="Arial"/>
      <w:b/>
      <w:bCs/>
      <w:sz w:val="24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ind w:firstLine="420" w:firstLineChars="200"/>
    </w:pPr>
  </w:style>
  <w:style w:type="paragraph" w:styleId="7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8">
    <w:name w:val="Document Map"/>
    <w:basedOn w:val="1"/>
    <w:link w:val="76"/>
    <w:qFormat/>
    <w:uiPriority w:val="99"/>
    <w:pPr>
      <w:shd w:val="clear" w:color="auto" w:fill="000080"/>
    </w:pPr>
  </w:style>
  <w:style w:type="paragraph" w:styleId="9">
    <w:name w:val="annotation text"/>
    <w:basedOn w:val="1"/>
    <w:link w:val="44"/>
    <w:qFormat/>
    <w:uiPriority w:val="99"/>
    <w:pPr>
      <w:jc w:val="left"/>
    </w:pPr>
    <w:rPr>
      <w:kern w:val="0"/>
      <w:sz w:val="24"/>
    </w:rPr>
  </w:style>
  <w:style w:type="paragraph" w:styleId="10">
    <w:name w:val="Body Text"/>
    <w:basedOn w:val="1"/>
    <w:link w:val="47"/>
    <w:qFormat/>
    <w:uiPriority w:val="99"/>
    <w:rPr>
      <w:rFonts w:ascii="宋体"/>
      <w:sz w:val="24"/>
      <w:szCs w:val="20"/>
    </w:rPr>
  </w:style>
  <w:style w:type="paragraph" w:styleId="11">
    <w:name w:val="Body Text Indent"/>
    <w:basedOn w:val="1"/>
    <w:link w:val="48"/>
    <w:qFormat/>
    <w:uiPriority w:val="99"/>
    <w:pPr>
      <w:spacing w:after="120"/>
      <w:ind w:left="420" w:leftChars="200"/>
    </w:pPr>
  </w:style>
  <w:style w:type="paragraph" w:styleId="12">
    <w:name w:val="toc 3"/>
    <w:basedOn w:val="1"/>
    <w:next w:val="1"/>
    <w:qFormat/>
    <w:uiPriority w:val="99"/>
    <w:pPr>
      <w:tabs>
        <w:tab w:val="right" w:leader="dot" w:pos="9060"/>
      </w:tabs>
      <w:adjustRightInd w:val="0"/>
      <w:snapToGrid w:val="0"/>
      <w:spacing w:line="360" w:lineRule="auto"/>
      <w:ind w:left="840" w:leftChars="400"/>
    </w:pPr>
  </w:style>
  <w:style w:type="paragraph" w:styleId="13">
    <w:name w:val="Plain Text"/>
    <w:basedOn w:val="1"/>
    <w:link w:val="49"/>
    <w:qFormat/>
    <w:uiPriority w:val="99"/>
    <w:rPr>
      <w:rFonts w:ascii="宋体" w:hAnsi="Courier New"/>
      <w:szCs w:val="21"/>
    </w:rPr>
  </w:style>
  <w:style w:type="paragraph" w:styleId="14">
    <w:name w:val="Date"/>
    <w:basedOn w:val="1"/>
    <w:next w:val="1"/>
    <w:link w:val="79"/>
    <w:qFormat/>
    <w:uiPriority w:val="99"/>
    <w:pPr>
      <w:ind w:left="100" w:leftChars="2500"/>
    </w:pPr>
    <w:rPr>
      <w:sz w:val="32"/>
      <w:szCs w:val="32"/>
    </w:rPr>
  </w:style>
  <w:style w:type="paragraph" w:styleId="15">
    <w:name w:val="Body Text Indent 2"/>
    <w:basedOn w:val="1"/>
    <w:link w:val="51"/>
    <w:qFormat/>
    <w:uiPriority w:val="99"/>
    <w:pPr>
      <w:spacing w:after="120" w:line="480" w:lineRule="auto"/>
      <w:ind w:left="420" w:leftChars="200"/>
    </w:pPr>
  </w:style>
  <w:style w:type="paragraph" w:styleId="16">
    <w:name w:val="Balloon Text"/>
    <w:basedOn w:val="1"/>
    <w:link w:val="52"/>
    <w:qFormat/>
    <w:uiPriority w:val="99"/>
    <w:rPr>
      <w:sz w:val="18"/>
      <w:szCs w:val="18"/>
    </w:rPr>
  </w:style>
  <w:style w:type="paragraph" w:styleId="17">
    <w:name w:val="footer"/>
    <w:basedOn w:val="1"/>
    <w:link w:val="5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5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99"/>
    <w:pPr>
      <w:tabs>
        <w:tab w:val="right" w:leader="dot" w:pos="9060"/>
      </w:tabs>
      <w:spacing w:line="360" w:lineRule="auto"/>
    </w:pPr>
    <w:rPr>
      <w:rFonts w:eastAsia="黑体" w:cs="Arial"/>
      <w:bCs/>
      <w:sz w:val="24"/>
      <w:szCs w:val="28"/>
      <w:lang w:val="zh-CN"/>
    </w:rPr>
  </w:style>
  <w:style w:type="paragraph" w:styleId="20">
    <w:name w:val="toc 4"/>
    <w:basedOn w:val="1"/>
    <w:next w:val="1"/>
    <w:qFormat/>
    <w:uiPriority w:val="99"/>
    <w:pPr>
      <w:ind w:left="1260" w:leftChars="600"/>
    </w:pPr>
  </w:style>
  <w:style w:type="paragraph" w:styleId="21">
    <w:name w:val="Subtitle"/>
    <w:basedOn w:val="1"/>
    <w:next w:val="1"/>
    <w:link w:val="55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2">
    <w:name w:val="List"/>
    <w:basedOn w:val="1"/>
    <w:qFormat/>
    <w:uiPriority w:val="99"/>
    <w:pPr>
      <w:spacing w:line="320" w:lineRule="atLeast"/>
      <w:jc w:val="center"/>
    </w:pPr>
    <w:rPr>
      <w:rFonts w:ascii="宋体"/>
      <w:szCs w:val="20"/>
    </w:rPr>
  </w:style>
  <w:style w:type="paragraph" w:styleId="23">
    <w:name w:val="Body Text Indent 3"/>
    <w:basedOn w:val="1"/>
    <w:link w:val="56"/>
    <w:qFormat/>
    <w:uiPriority w:val="99"/>
    <w:pPr>
      <w:tabs>
        <w:tab w:val="left" w:pos="0"/>
      </w:tabs>
      <w:spacing w:line="360" w:lineRule="auto"/>
      <w:ind w:firstLine="560" w:firstLineChars="200"/>
      <w:jc w:val="left"/>
    </w:pPr>
    <w:rPr>
      <w:sz w:val="28"/>
    </w:rPr>
  </w:style>
  <w:style w:type="paragraph" w:styleId="24">
    <w:name w:val="toc 2"/>
    <w:basedOn w:val="1"/>
    <w:next w:val="1"/>
    <w:qFormat/>
    <w:uiPriority w:val="99"/>
    <w:pPr>
      <w:tabs>
        <w:tab w:val="right" w:leader="dot" w:pos="9060"/>
      </w:tabs>
      <w:spacing w:line="360" w:lineRule="auto"/>
    </w:pPr>
    <w:rPr>
      <w:rFonts w:eastAsia="黑体" w:cs="Arial"/>
      <w:sz w:val="24"/>
    </w:rPr>
  </w:style>
  <w:style w:type="paragraph" w:styleId="25">
    <w:name w:val="Body Text 2"/>
    <w:basedOn w:val="1"/>
    <w:link w:val="57"/>
    <w:qFormat/>
    <w:uiPriority w:val="99"/>
    <w:pPr>
      <w:spacing w:line="360" w:lineRule="atLeast"/>
    </w:pPr>
    <w:rPr>
      <w:sz w:val="18"/>
    </w:rPr>
  </w:style>
  <w:style w:type="paragraph" w:styleId="26">
    <w:name w:val="HTML Preformatted"/>
    <w:basedOn w:val="1"/>
    <w:link w:val="58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8">
    <w:name w:val="Title"/>
    <w:basedOn w:val="1"/>
    <w:next w:val="1"/>
    <w:link w:val="59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9">
    <w:name w:val="annotation subject"/>
    <w:basedOn w:val="9"/>
    <w:next w:val="9"/>
    <w:link w:val="45"/>
    <w:qFormat/>
    <w:uiPriority w:val="99"/>
    <w:rPr>
      <w:b/>
      <w:bCs/>
    </w:rPr>
  </w:style>
  <w:style w:type="table" w:styleId="31">
    <w:name w:val="Table Grid"/>
    <w:basedOn w:val="3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">
    <w:name w:val="Table Classic 1"/>
    <w:basedOn w:val="30"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34">
    <w:name w:val="Strong"/>
    <w:basedOn w:val="33"/>
    <w:qFormat/>
    <w:uiPriority w:val="99"/>
    <w:rPr>
      <w:rFonts w:cs="Times New Roman"/>
      <w:b/>
      <w:bCs/>
    </w:rPr>
  </w:style>
  <w:style w:type="character" w:styleId="35">
    <w:name w:val="page number"/>
    <w:basedOn w:val="33"/>
    <w:qFormat/>
    <w:uiPriority w:val="99"/>
    <w:rPr>
      <w:rFonts w:cs="Times New Roman"/>
    </w:rPr>
  </w:style>
  <w:style w:type="character" w:styleId="36">
    <w:name w:val="FollowedHyperlink"/>
    <w:basedOn w:val="33"/>
    <w:qFormat/>
    <w:uiPriority w:val="99"/>
    <w:rPr>
      <w:rFonts w:cs="Times New Roman"/>
      <w:color w:val="800080"/>
      <w:u w:val="single"/>
    </w:rPr>
  </w:style>
  <w:style w:type="character" w:styleId="37">
    <w:name w:val="line number"/>
    <w:basedOn w:val="33"/>
    <w:qFormat/>
    <w:uiPriority w:val="99"/>
    <w:rPr>
      <w:rFonts w:cs="Times New Roman"/>
    </w:rPr>
  </w:style>
  <w:style w:type="character" w:styleId="38">
    <w:name w:val="Hyperlink"/>
    <w:basedOn w:val="33"/>
    <w:qFormat/>
    <w:uiPriority w:val="99"/>
    <w:rPr>
      <w:rFonts w:cs="Times New Roman"/>
      <w:color w:val="0000FF"/>
      <w:u w:val="single"/>
    </w:rPr>
  </w:style>
  <w:style w:type="character" w:styleId="39">
    <w:name w:val="annotation reference"/>
    <w:basedOn w:val="33"/>
    <w:qFormat/>
    <w:uiPriority w:val="99"/>
    <w:rPr>
      <w:rFonts w:cs="Times New Roman"/>
      <w:sz w:val="21"/>
    </w:rPr>
  </w:style>
  <w:style w:type="character" w:customStyle="1" w:styleId="40">
    <w:name w:val="标题 1 Char"/>
    <w:basedOn w:val="33"/>
    <w:link w:val="2"/>
    <w:qFormat/>
    <w:locked/>
    <w:uiPriority w:val="99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41">
    <w:name w:val="标题 2 Char"/>
    <w:basedOn w:val="33"/>
    <w:link w:val="3"/>
    <w:qFormat/>
    <w:locked/>
    <w:uiPriority w:val="99"/>
    <w:rPr>
      <w:rFonts w:ascii="Arial" w:hAnsi="Arial" w:eastAsia="创艺简标宋" w:cs="Times New Roman"/>
      <w:b/>
      <w:bCs/>
      <w:kern w:val="2"/>
      <w:sz w:val="32"/>
      <w:szCs w:val="32"/>
    </w:rPr>
  </w:style>
  <w:style w:type="character" w:customStyle="1" w:styleId="42">
    <w:name w:val="标题 3 Char"/>
    <w:basedOn w:val="33"/>
    <w:link w:val="4"/>
    <w:qFormat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43">
    <w:name w:val="标题 4 Char"/>
    <w:basedOn w:val="33"/>
    <w:link w:val="5"/>
    <w:qFormat/>
    <w:locked/>
    <w:uiPriority w:val="99"/>
    <w:rPr>
      <w:rFonts w:ascii="Arial" w:hAnsi="Arial" w:cs="Arial"/>
      <w:b/>
      <w:bCs/>
      <w:kern w:val="2"/>
      <w:sz w:val="24"/>
      <w:szCs w:val="24"/>
    </w:rPr>
  </w:style>
  <w:style w:type="character" w:customStyle="1" w:styleId="44">
    <w:name w:val="批注文字 Char"/>
    <w:basedOn w:val="33"/>
    <w:link w:val="9"/>
    <w:qFormat/>
    <w:locked/>
    <w:uiPriority w:val="99"/>
    <w:rPr>
      <w:rFonts w:cs="Times New Roman"/>
      <w:sz w:val="24"/>
      <w:szCs w:val="24"/>
    </w:rPr>
  </w:style>
  <w:style w:type="character" w:customStyle="1" w:styleId="45">
    <w:name w:val="批注主题 Char"/>
    <w:basedOn w:val="44"/>
    <w:link w:val="29"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46">
    <w:name w:val="Document Map Char"/>
    <w:basedOn w:val="33"/>
    <w:qFormat/>
    <w:locked/>
    <w:uiPriority w:val="99"/>
    <w:rPr>
      <w:rFonts w:ascii="宋体" w:cs="Times New Roman"/>
      <w:kern w:val="2"/>
      <w:sz w:val="18"/>
    </w:rPr>
  </w:style>
  <w:style w:type="character" w:customStyle="1" w:styleId="47">
    <w:name w:val="正文文本 Char"/>
    <w:basedOn w:val="33"/>
    <w:link w:val="10"/>
    <w:qFormat/>
    <w:locked/>
    <w:uiPriority w:val="99"/>
    <w:rPr>
      <w:rFonts w:ascii="宋体" w:cs="Times New Roman"/>
      <w:kern w:val="2"/>
      <w:sz w:val="24"/>
    </w:rPr>
  </w:style>
  <w:style w:type="character" w:customStyle="1" w:styleId="48">
    <w:name w:val="正文文本缩进 Char"/>
    <w:basedOn w:val="33"/>
    <w:link w:val="11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49">
    <w:name w:val="纯文本 Char"/>
    <w:basedOn w:val="33"/>
    <w:link w:val="13"/>
    <w:qFormat/>
    <w:locked/>
    <w:uiPriority w:val="99"/>
    <w:rPr>
      <w:rFonts w:ascii="宋体" w:hAnsi="Courier New" w:cs="Times New Roman"/>
      <w:kern w:val="2"/>
      <w:sz w:val="21"/>
      <w:szCs w:val="21"/>
    </w:rPr>
  </w:style>
  <w:style w:type="character" w:customStyle="1" w:styleId="50">
    <w:name w:val="Date Char"/>
    <w:basedOn w:val="33"/>
    <w:qFormat/>
    <w:locked/>
    <w:uiPriority w:val="99"/>
    <w:rPr>
      <w:rFonts w:cs="Times New Roman"/>
      <w:kern w:val="2"/>
      <w:sz w:val="24"/>
    </w:rPr>
  </w:style>
  <w:style w:type="character" w:customStyle="1" w:styleId="51">
    <w:name w:val="正文文本缩进 2 Char"/>
    <w:basedOn w:val="33"/>
    <w:link w:val="15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52">
    <w:name w:val="批注框文本 Char"/>
    <w:basedOn w:val="33"/>
    <w:link w:val="1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53">
    <w:name w:val="页脚 Char"/>
    <w:basedOn w:val="33"/>
    <w:link w:val="17"/>
    <w:qFormat/>
    <w:locked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54">
    <w:name w:val="页眉 Char"/>
    <w:basedOn w:val="33"/>
    <w:link w:val="18"/>
    <w:qFormat/>
    <w:locked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55">
    <w:name w:val="副标题 Char"/>
    <w:basedOn w:val="33"/>
    <w:link w:val="21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56">
    <w:name w:val="正文文本缩进 3 Char"/>
    <w:basedOn w:val="33"/>
    <w:link w:val="23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57">
    <w:name w:val="正文文本 2 Char"/>
    <w:basedOn w:val="33"/>
    <w:link w:val="25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58">
    <w:name w:val="HTML 预设格式 Char"/>
    <w:basedOn w:val="33"/>
    <w:link w:val="26"/>
    <w:qFormat/>
    <w:locked/>
    <w:uiPriority w:val="99"/>
    <w:rPr>
      <w:rFonts w:ascii="Arial" w:hAnsi="Arial" w:cs="Arial"/>
      <w:sz w:val="24"/>
      <w:szCs w:val="24"/>
    </w:rPr>
  </w:style>
  <w:style w:type="character" w:customStyle="1" w:styleId="59">
    <w:name w:val="标题 Char"/>
    <w:basedOn w:val="33"/>
    <w:link w:val="28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60">
    <w:name w:val="文字"/>
    <w:basedOn w:val="1"/>
    <w:qFormat/>
    <w:uiPriority w:val="99"/>
    <w:pPr>
      <w:widowControl/>
      <w:spacing w:afterLines="50" w:line="360" w:lineRule="auto"/>
      <w:ind w:firstLine="420"/>
    </w:pPr>
    <w:rPr>
      <w:kern w:val="0"/>
      <w:sz w:val="24"/>
    </w:rPr>
  </w:style>
  <w:style w:type="paragraph" w:customStyle="1" w:styleId="61">
    <w:name w:val="其他表格"/>
    <w:basedOn w:val="1"/>
    <w:qFormat/>
    <w:uiPriority w:val="99"/>
    <w:pPr>
      <w:widowControl/>
      <w:spacing w:line="360" w:lineRule="exact"/>
      <w:jc w:val="center"/>
    </w:pPr>
    <w:rPr>
      <w:rFonts w:ascii="宋体" w:hAnsi="宋体"/>
      <w:szCs w:val="21"/>
    </w:rPr>
  </w:style>
  <w:style w:type="character" w:customStyle="1" w:styleId="62">
    <w:name w:val="样式1"/>
    <w:qFormat/>
    <w:uiPriority w:val="99"/>
    <w:rPr>
      <w:rFonts w:ascii="宋体"/>
    </w:rPr>
  </w:style>
  <w:style w:type="character" w:customStyle="1" w:styleId="63">
    <w:name w:val="tpc_content1"/>
    <w:basedOn w:val="33"/>
    <w:qFormat/>
    <w:uiPriority w:val="99"/>
    <w:rPr>
      <w:rFonts w:cs="Times New Roman"/>
      <w:sz w:val="23"/>
      <w:szCs w:val="23"/>
    </w:rPr>
  </w:style>
  <w:style w:type="paragraph" w:customStyle="1" w:styleId="64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Arial Unicode MS"/>
      <w:kern w:val="0"/>
      <w:sz w:val="18"/>
      <w:szCs w:val="18"/>
    </w:rPr>
  </w:style>
  <w:style w:type="paragraph" w:customStyle="1" w:styleId="65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Arial Unicode MS"/>
      <w:color w:val="000000"/>
      <w:kern w:val="0"/>
      <w:sz w:val="20"/>
      <w:szCs w:val="20"/>
    </w:rPr>
  </w:style>
  <w:style w:type="paragraph" w:customStyle="1" w:styleId="66">
    <w:name w:val="xl2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Arial Unicode MS" w:hAnsi="Arial Unicode MS" w:cs="Arial Unicode MS"/>
      <w:kern w:val="0"/>
      <w:sz w:val="22"/>
      <w:szCs w:val="22"/>
    </w:rPr>
  </w:style>
  <w:style w:type="paragraph" w:customStyle="1" w:styleId="67">
    <w:name w:val="xl2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0"/>
      <w:szCs w:val="20"/>
    </w:rPr>
  </w:style>
  <w:style w:type="paragraph" w:customStyle="1" w:styleId="68">
    <w:name w:val="xl2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0"/>
      <w:szCs w:val="20"/>
    </w:rPr>
  </w:style>
  <w:style w:type="paragraph" w:customStyle="1" w:styleId="69">
    <w:name w:val="xl2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0"/>
      <w:szCs w:val="20"/>
    </w:rPr>
  </w:style>
  <w:style w:type="paragraph" w:customStyle="1" w:styleId="70">
    <w:name w:val="xl29"/>
    <w:basedOn w:val="1"/>
    <w:qFormat/>
    <w:uiPriority w:val="99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71">
    <w:name w:val="xl3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0"/>
      <w:szCs w:val="20"/>
    </w:rPr>
  </w:style>
  <w:style w:type="paragraph" w:customStyle="1" w:styleId="72">
    <w:name w:val="xl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Arial Unicode MS" w:hAnsi="Arial Unicode MS" w:cs="Arial Unicode MS"/>
      <w:color w:val="000000"/>
      <w:kern w:val="0"/>
      <w:sz w:val="20"/>
      <w:szCs w:val="20"/>
    </w:rPr>
  </w:style>
  <w:style w:type="paragraph" w:customStyle="1" w:styleId="73">
    <w:name w:val="Char Char Char Char Char Char Char Char Char Char Char"/>
    <w:basedOn w:val="1"/>
    <w:qFormat/>
    <w:uiPriority w:val="99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74">
    <w:name w:val="xl39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75">
    <w:name w:val="默认段落字体 Para Char Char Char Char Char Char Char Char Char Char Char Char Char1 Char"/>
    <w:basedOn w:val="8"/>
    <w:qFormat/>
    <w:uiPriority w:val="99"/>
    <w:rPr>
      <w:rFonts w:ascii="Tahoma" w:hAnsi="Tahoma"/>
      <w:sz w:val="24"/>
    </w:rPr>
  </w:style>
  <w:style w:type="character" w:customStyle="1" w:styleId="76">
    <w:name w:val="文档结构图 Char"/>
    <w:basedOn w:val="33"/>
    <w:link w:val="8"/>
    <w:qFormat/>
    <w:locked/>
    <w:uiPriority w:val="99"/>
    <w:rPr>
      <w:rFonts w:cs="Times New Roman"/>
      <w:kern w:val="2"/>
      <w:sz w:val="24"/>
      <w:szCs w:val="24"/>
      <w:shd w:val="clear" w:color="auto" w:fill="000080"/>
    </w:rPr>
  </w:style>
  <w:style w:type="paragraph" w:customStyle="1" w:styleId="77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78">
    <w:name w:val="Char"/>
    <w:basedOn w:val="1"/>
    <w:qFormat/>
    <w:uiPriority w:val="99"/>
    <w:pPr>
      <w:jc w:val="left"/>
    </w:pPr>
    <w:rPr>
      <w:rFonts w:ascii="仿宋_GB2312" w:eastAsia="仿宋_GB2312"/>
      <w:b/>
      <w:sz w:val="32"/>
      <w:szCs w:val="32"/>
    </w:rPr>
  </w:style>
  <w:style w:type="character" w:customStyle="1" w:styleId="79">
    <w:name w:val="日期 Char"/>
    <w:basedOn w:val="33"/>
    <w:link w:val="14"/>
    <w:qFormat/>
    <w:locked/>
    <w:uiPriority w:val="99"/>
    <w:rPr>
      <w:rFonts w:cs="Times New Roman"/>
      <w:kern w:val="2"/>
      <w:sz w:val="32"/>
      <w:szCs w:val="32"/>
    </w:rPr>
  </w:style>
  <w:style w:type="paragraph" w:customStyle="1" w:styleId="80">
    <w:name w:val="Char Char Char Char Char Char Char"/>
    <w:basedOn w:val="1"/>
    <w:qFormat/>
    <w:uiPriority w:val="99"/>
  </w:style>
  <w:style w:type="paragraph" w:customStyle="1" w:styleId="81">
    <w:name w:val="1 Char Char Char Char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82">
    <w:name w:val="Char Char1 Char Char Char Char"/>
    <w:basedOn w:val="1"/>
    <w:qFormat/>
    <w:uiPriority w:val="99"/>
    <w:rPr>
      <w:sz w:val="24"/>
    </w:rPr>
  </w:style>
  <w:style w:type="paragraph" w:customStyle="1" w:styleId="83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84">
    <w:name w:val="批注框文本 Char1"/>
    <w:basedOn w:val="33"/>
    <w:qFormat/>
    <w:uiPriority w:val="99"/>
    <w:rPr>
      <w:rFonts w:cs="Times New Roman"/>
      <w:kern w:val="2"/>
      <w:sz w:val="18"/>
      <w:szCs w:val="18"/>
    </w:rPr>
  </w:style>
  <w:style w:type="paragraph" w:customStyle="1" w:styleId="85">
    <w:name w:val="样式2"/>
    <w:basedOn w:val="1"/>
    <w:link w:val="86"/>
    <w:qFormat/>
    <w:uiPriority w:val="99"/>
    <w:pPr>
      <w:adjustRightInd w:val="0"/>
      <w:snapToGrid w:val="0"/>
      <w:spacing w:beforeLines="50" w:afterLines="50" w:line="360" w:lineRule="auto"/>
      <w:jc w:val="left"/>
    </w:pPr>
    <w:rPr>
      <w:rFonts w:eastAsia="黑体" w:cs="Arial"/>
      <w:bCs/>
      <w:color w:val="000000"/>
      <w:sz w:val="28"/>
      <w:szCs w:val="28"/>
    </w:rPr>
  </w:style>
  <w:style w:type="character" w:customStyle="1" w:styleId="86">
    <w:name w:val="样式2 Char"/>
    <w:basedOn w:val="33"/>
    <w:link w:val="85"/>
    <w:qFormat/>
    <w:locked/>
    <w:uiPriority w:val="99"/>
    <w:rPr>
      <w:rFonts w:eastAsia="黑体" w:cs="Arial"/>
      <w:bCs/>
      <w:color w:val="000000"/>
      <w:kern w:val="2"/>
      <w:sz w:val="28"/>
      <w:szCs w:val="28"/>
    </w:rPr>
  </w:style>
  <w:style w:type="paragraph" w:customStyle="1" w:styleId="87">
    <w:name w:val="样式3"/>
    <w:basedOn w:val="1"/>
    <w:link w:val="88"/>
    <w:qFormat/>
    <w:uiPriority w:val="99"/>
    <w:pPr>
      <w:adjustRightInd w:val="0"/>
      <w:snapToGrid w:val="0"/>
      <w:spacing w:beforeLines="50" w:line="360" w:lineRule="auto"/>
    </w:pPr>
    <w:rPr>
      <w:rFonts w:eastAsia="黑体" w:cs="Arial"/>
      <w:bCs/>
      <w:sz w:val="28"/>
      <w:szCs w:val="28"/>
    </w:rPr>
  </w:style>
  <w:style w:type="character" w:customStyle="1" w:styleId="88">
    <w:name w:val="样式3 Char"/>
    <w:basedOn w:val="33"/>
    <w:link w:val="87"/>
    <w:qFormat/>
    <w:locked/>
    <w:uiPriority w:val="99"/>
    <w:rPr>
      <w:rFonts w:eastAsia="黑体" w:cs="Arial"/>
      <w:bCs/>
      <w:kern w:val="2"/>
      <w:sz w:val="28"/>
      <w:szCs w:val="28"/>
    </w:rPr>
  </w:style>
  <w:style w:type="character" w:customStyle="1" w:styleId="89">
    <w:name w:val="HTML 预设格式 Char1"/>
    <w:basedOn w:val="33"/>
    <w:qFormat/>
    <w:uiPriority w:val="99"/>
    <w:rPr>
      <w:rFonts w:ascii="Courier New" w:hAnsi="Courier New" w:cs="Courier New"/>
      <w:kern w:val="2"/>
    </w:rPr>
  </w:style>
  <w:style w:type="character" w:customStyle="1" w:styleId="90">
    <w:name w:val="样式1 Char"/>
    <w:basedOn w:val="33"/>
    <w:qFormat/>
    <w:uiPriority w:val="99"/>
    <w:rPr>
      <w:rFonts w:eastAsia="黑体" w:cs="Arial"/>
      <w:kern w:val="2"/>
      <w:sz w:val="30"/>
      <w:szCs w:val="30"/>
      <w:lang w:val="en-US" w:eastAsia="zh-CN" w:bidi="ar-SA"/>
    </w:rPr>
  </w:style>
  <w:style w:type="paragraph" w:customStyle="1" w:styleId="91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92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3">
    <w:name w:val="批注文字 Char1"/>
    <w:basedOn w:val="33"/>
    <w:qFormat/>
    <w:uiPriority w:val="99"/>
    <w:rPr>
      <w:rFonts w:cs="Times New Roman"/>
      <w:kern w:val="2"/>
      <w:sz w:val="24"/>
      <w:szCs w:val="24"/>
    </w:rPr>
  </w:style>
  <w:style w:type="character" w:customStyle="1" w:styleId="94">
    <w:name w:val="批注主题 Char1"/>
    <w:basedOn w:val="93"/>
    <w:qFormat/>
    <w:uiPriority w:val="99"/>
    <w:rPr>
      <w:rFonts w:cs="Times New Roman"/>
      <w:b/>
      <w:bCs/>
      <w:kern w:val="2"/>
      <w:sz w:val="24"/>
      <w:szCs w:val="24"/>
    </w:rPr>
  </w:style>
  <w:style w:type="character" w:customStyle="1" w:styleId="95">
    <w:name w:val="标题 Char1"/>
    <w:basedOn w:val="3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96">
    <w:name w:val="Char Char1 Char Char Char Char1"/>
    <w:basedOn w:val="1"/>
    <w:qFormat/>
    <w:uiPriority w:val="99"/>
    <w:rPr>
      <w:sz w:val="24"/>
    </w:rPr>
  </w:style>
  <w:style w:type="paragraph" w:customStyle="1" w:styleId="97">
    <w:name w:val="Char Char Char Char Char Char Char1"/>
    <w:basedOn w:val="1"/>
    <w:qFormat/>
    <w:uiPriority w:val="99"/>
  </w:style>
  <w:style w:type="paragraph" w:customStyle="1" w:styleId="98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">
    <w:name w:val="列出段落1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00">
    <w:name w:val="Char1"/>
    <w:basedOn w:val="1"/>
    <w:qFormat/>
    <w:uiPriority w:val="99"/>
    <w:pPr>
      <w:jc w:val="left"/>
    </w:pPr>
    <w:rPr>
      <w:rFonts w:ascii="仿宋_GB2312" w:eastAsia="仿宋_GB2312"/>
      <w:b/>
      <w:sz w:val="32"/>
      <w:szCs w:val="32"/>
    </w:rPr>
  </w:style>
  <w:style w:type="paragraph" w:customStyle="1" w:styleId="101">
    <w:name w:val="正文缩进1"/>
    <w:basedOn w:val="6"/>
    <w:qFormat/>
    <w:uiPriority w:val="99"/>
    <w:pPr>
      <w:adjustRightInd w:val="0"/>
      <w:snapToGrid w:val="0"/>
      <w:spacing w:line="360" w:lineRule="auto"/>
      <w:ind w:left="960" w:hanging="478" w:firstLineChars="0"/>
    </w:pPr>
    <w:rPr>
      <w:rFonts w:ascii="仿宋_GB2312" w:eastAsia="仿宋_GB2312"/>
      <w:color w:val="000000"/>
      <w:spacing w:val="6"/>
      <w:kern w:val="0"/>
      <w:sz w:val="24"/>
      <w:szCs w:val="20"/>
    </w:rPr>
  </w:style>
  <w:style w:type="character" w:customStyle="1" w:styleId="102">
    <w:name w:val="font01"/>
    <w:qFormat/>
    <w:uiPriority w:val="99"/>
    <w:rPr>
      <w:rFonts w:ascii="宋体" w:hAnsi="宋体" w:eastAsia="宋体"/>
      <w:color w:val="000000"/>
      <w:sz w:val="22"/>
      <w:u w:val="none"/>
    </w:rPr>
  </w:style>
  <w:style w:type="character" w:customStyle="1" w:styleId="103">
    <w:name w:val="font41"/>
    <w:basedOn w:val="33"/>
    <w:qFormat/>
    <w:uiPriority w:val="99"/>
    <w:rPr>
      <w:rFonts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7CB05D-0140-44C3-9EB9-B8260FE455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1</Pages>
  <Words>844</Words>
  <Characters>4814</Characters>
  <Lines>40</Lines>
  <Paragraphs>11</Paragraphs>
  <TotalTime>112</TotalTime>
  <ScaleCrop>false</ScaleCrop>
  <LinksUpToDate>false</LinksUpToDate>
  <CharactersWithSpaces>5647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2019-02-14T07:45:00Z</dcterms:created>
  <dc:creator>lenovo</dc:creator>
  <cp:lastModifiedBy>吜芣菈凢の菇涼o</cp:lastModifiedBy>
  <cp:lastPrinted>2019-02-14T07:16:00Z</cp:lastPrinted>
  <dcterms:modified xsi:type="dcterms:W3CDTF">2020-04-26T01:18:36Z</dcterms:modified>
  <dc:title>2014年上半年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