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08C63C">
      <w:pPr>
        <w:rPr>
          <w:rFonts w:hint="default" w:ascii="Times New Roman" w:hAnsi="Times New Roman" w:eastAsia="仿宋_GB2312" w:cs="Times New Roman"/>
          <w:color w:val="auto"/>
          <w:sz w:val="36"/>
          <w:szCs w:val="36"/>
        </w:rPr>
      </w:pPr>
    </w:p>
    <w:p w14:paraId="03A8F976">
      <w:pPr>
        <w:rPr>
          <w:rFonts w:hint="default" w:ascii="Times New Roman" w:hAnsi="Times New Roman" w:eastAsia="仿宋_GB2312" w:cs="Times New Roman"/>
          <w:color w:val="auto"/>
          <w:sz w:val="36"/>
          <w:szCs w:val="36"/>
        </w:rPr>
      </w:pPr>
    </w:p>
    <w:p w14:paraId="5528467E">
      <w:pPr>
        <w:rPr>
          <w:rFonts w:hint="default" w:ascii="Times New Roman" w:hAnsi="Times New Roman" w:eastAsia="仿宋_GB2312" w:cs="Times New Roman"/>
          <w:color w:val="auto"/>
          <w:sz w:val="36"/>
          <w:szCs w:val="36"/>
        </w:rPr>
      </w:pPr>
    </w:p>
    <w:p w14:paraId="6B1C5FC5">
      <w:pPr>
        <w:rPr>
          <w:rFonts w:hint="default" w:ascii="Times New Roman" w:hAnsi="Times New Roman" w:eastAsia="仿宋_GB2312" w:cs="Times New Roman"/>
          <w:color w:val="auto"/>
          <w:sz w:val="36"/>
          <w:szCs w:val="36"/>
        </w:rPr>
      </w:pPr>
    </w:p>
    <w:p w14:paraId="280E2CFF">
      <w:pPr>
        <w:rPr>
          <w:rFonts w:hint="default" w:ascii="Times New Roman" w:hAnsi="Times New Roman" w:eastAsia="仿宋_GB2312" w:cs="Times New Roman"/>
          <w:color w:val="auto"/>
          <w:sz w:val="36"/>
          <w:szCs w:val="36"/>
        </w:rPr>
      </w:pPr>
    </w:p>
    <w:p w14:paraId="32C3D773">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14:paraId="2F17A166">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14:paraId="7B580470">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14:paraId="7EB2D082">
      <w:pPr>
        <w:jc w:val="center"/>
        <w:rPr>
          <w:rFonts w:hint="default" w:ascii="Times New Roman" w:hAnsi="Times New Roman" w:eastAsia="仿宋" w:cs="Times New Roman"/>
          <w:color w:val="auto"/>
          <w:sz w:val="52"/>
          <w:szCs w:val="52"/>
        </w:rPr>
      </w:pPr>
    </w:p>
    <w:p w14:paraId="663F899A">
      <w:pPr>
        <w:ind w:firstLine="1040"/>
        <w:rPr>
          <w:rFonts w:hint="default" w:ascii="Times New Roman" w:hAnsi="Times New Roman" w:eastAsia="仿宋" w:cs="Times New Roman"/>
          <w:color w:val="auto"/>
          <w:sz w:val="44"/>
          <w:szCs w:val="44"/>
        </w:rPr>
      </w:pPr>
    </w:p>
    <w:p w14:paraId="4A4A53BD">
      <w:pPr>
        <w:pStyle w:val="4"/>
        <w:rPr>
          <w:rFonts w:hint="default" w:ascii="Times New Roman" w:hAnsi="Times New Roman" w:eastAsia="仿宋" w:cs="Times New Roman"/>
          <w:color w:val="auto"/>
          <w:sz w:val="44"/>
          <w:szCs w:val="44"/>
        </w:rPr>
      </w:pPr>
    </w:p>
    <w:p w14:paraId="1CF17472">
      <w:pPr>
        <w:rPr>
          <w:rFonts w:hint="default" w:ascii="Times New Roman" w:hAnsi="Times New Roman" w:eastAsia="仿宋" w:cs="Times New Roman"/>
          <w:color w:val="auto"/>
          <w:sz w:val="44"/>
          <w:szCs w:val="44"/>
        </w:rPr>
      </w:pPr>
    </w:p>
    <w:p w14:paraId="690171BB">
      <w:pPr>
        <w:pStyle w:val="4"/>
        <w:rPr>
          <w:rFonts w:hint="default"/>
          <w:color w:val="auto"/>
        </w:rPr>
      </w:pPr>
    </w:p>
    <w:p w14:paraId="4B22C840">
      <w:pPr>
        <w:ind w:firstLine="1040"/>
        <w:rPr>
          <w:rFonts w:hint="default" w:ascii="Times New Roman" w:hAnsi="Times New Roman" w:eastAsia="仿宋" w:cs="Times New Roman"/>
          <w:color w:val="auto"/>
          <w:sz w:val="44"/>
          <w:szCs w:val="44"/>
        </w:rPr>
      </w:pPr>
    </w:p>
    <w:p w14:paraId="5BBBF1BD">
      <w:pPr>
        <w:ind w:firstLine="1040"/>
        <w:rPr>
          <w:rFonts w:hint="default" w:ascii="Times New Roman" w:hAnsi="Times New Roman" w:eastAsia="仿宋" w:cs="Times New Roman"/>
          <w:color w:val="auto"/>
          <w:sz w:val="44"/>
          <w:szCs w:val="44"/>
        </w:rPr>
      </w:pPr>
    </w:p>
    <w:p w14:paraId="6C579221">
      <w:pPr>
        <w:ind w:firstLine="1040"/>
        <w:rPr>
          <w:rFonts w:hint="default" w:ascii="Times New Roman" w:hAnsi="Times New Roman" w:eastAsia="仿宋" w:cs="Times New Roman"/>
          <w:color w:val="auto"/>
          <w:sz w:val="44"/>
          <w:szCs w:val="44"/>
        </w:rPr>
      </w:pPr>
    </w:p>
    <w:p w14:paraId="646C6142">
      <w:pPr>
        <w:adjustRightInd w:val="0"/>
        <w:snapToGrid w:val="0"/>
        <w:spacing w:line="288" w:lineRule="auto"/>
        <w:ind w:firstLine="420" w:firstLineChars="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 xml:space="preserve">项目名称： </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年充装10万瓶工业丙烷项目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14:paraId="538AEE0A">
      <w:pPr>
        <w:adjustRightInd w:val="0"/>
        <w:snapToGrid w:val="0"/>
        <w:spacing w:line="288" w:lineRule="auto"/>
        <w:ind w:firstLine="420" w:firstLineChars="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 xml:space="preserve">固原市原州区少兴氧气充装站   </w:t>
      </w:r>
    </w:p>
    <w:p w14:paraId="5DF38DAE">
      <w:pPr>
        <w:adjustRightInd w:val="0"/>
        <w:snapToGrid w:val="0"/>
        <w:spacing w:line="288" w:lineRule="auto"/>
        <w:ind w:firstLine="420" w:firstLineChars="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二〇二四年十二月</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 xml:space="preserve">       </w:t>
      </w:r>
    </w:p>
    <w:p w14:paraId="5B46D1FE">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0" w:name="_Hlk57884087"/>
    </w:p>
    <w:p w14:paraId="0484698C">
      <w:pPr>
        <w:adjustRightInd w:val="0"/>
        <w:snapToGrid w:val="0"/>
        <w:spacing w:line="288" w:lineRule="auto"/>
        <w:ind w:firstLine="1040"/>
        <w:rPr>
          <w:rFonts w:hint="default" w:ascii="Times New Roman" w:hAnsi="Times New Roman" w:eastAsia="仿宋_GB2312" w:cs="Times New Roman"/>
          <w:color w:val="auto"/>
          <w:sz w:val="36"/>
          <w:szCs w:val="36"/>
        </w:rPr>
      </w:pPr>
    </w:p>
    <w:p w14:paraId="3D9C5EF4">
      <w:pPr>
        <w:adjustRightInd w:val="0"/>
        <w:snapToGrid w:val="0"/>
        <w:spacing w:line="288" w:lineRule="auto"/>
        <w:ind w:firstLine="1040"/>
        <w:rPr>
          <w:rFonts w:hint="default" w:ascii="Times New Roman" w:hAnsi="Times New Roman" w:eastAsia="仿宋_GB2312" w:cs="Times New Roman"/>
          <w:color w:val="auto"/>
          <w:sz w:val="36"/>
          <w:szCs w:val="36"/>
        </w:rPr>
      </w:pPr>
    </w:p>
    <w:p w14:paraId="7A941B2B">
      <w:pPr>
        <w:adjustRightInd w:val="0"/>
        <w:snapToGrid w:val="0"/>
        <w:spacing w:line="288" w:lineRule="auto"/>
        <w:ind w:firstLine="1040"/>
        <w:rPr>
          <w:rFonts w:hint="default" w:ascii="Times New Roman" w:hAnsi="Times New Roman" w:eastAsia="仿宋_GB2312" w:cs="Times New Roman"/>
          <w:color w:val="auto"/>
          <w:sz w:val="36"/>
          <w:szCs w:val="36"/>
        </w:rPr>
      </w:pPr>
    </w:p>
    <w:p w14:paraId="0FB83B5B">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14:paraId="38B1479E">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46848BD6">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417" w:right="1417" w:bottom="1417" w:left="1417" w:header="851" w:footer="1077" w:gutter="0"/>
          <w:pgNumType w:start="3"/>
          <w:cols w:space="720" w:num="1"/>
          <w:docGrid w:linePitch="312" w:charSpace="0"/>
        </w:sectPr>
      </w:pPr>
    </w:p>
    <w:p w14:paraId="5DA35283">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718"/>
        <w:gridCol w:w="1830"/>
        <w:gridCol w:w="2450"/>
        <w:gridCol w:w="3100"/>
      </w:tblGrid>
      <w:tr w14:paraId="2B084D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040F074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380" w:type="dxa"/>
            <w:gridSpan w:val="3"/>
            <w:noWrap w:val="0"/>
            <w:vAlign w:val="center"/>
          </w:tcPr>
          <w:p w14:paraId="07D5005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年充装10万瓶工业丙烷项目</w:t>
            </w:r>
          </w:p>
        </w:tc>
      </w:tr>
      <w:tr w14:paraId="699D6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1FF35C48">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380" w:type="dxa"/>
            <w:gridSpan w:val="3"/>
            <w:noWrap w:val="0"/>
            <w:vAlign w:val="center"/>
          </w:tcPr>
          <w:p w14:paraId="5CEEE90B">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2408-640940-04-01-850465</w:t>
            </w:r>
          </w:p>
        </w:tc>
      </w:tr>
      <w:tr w14:paraId="251315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782F2F9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1830" w:type="dxa"/>
            <w:noWrap w:val="0"/>
            <w:vAlign w:val="center"/>
          </w:tcPr>
          <w:p w14:paraId="474C37A0">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马海涛</w:t>
            </w:r>
          </w:p>
        </w:tc>
        <w:tc>
          <w:tcPr>
            <w:tcW w:w="2450" w:type="dxa"/>
            <w:noWrap w:val="0"/>
            <w:vAlign w:val="center"/>
          </w:tcPr>
          <w:p w14:paraId="5E2CE79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3100" w:type="dxa"/>
            <w:noWrap w:val="0"/>
            <w:vAlign w:val="center"/>
          </w:tcPr>
          <w:p w14:paraId="0E542460">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15809697333</w:t>
            </w:r>
          </w:p>
        </w:tc>
      </w:tr>
      <w:tr w14:paraId="3580A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2AEDF5E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380" w:type="dxa"/>
            <w:gridSpan w:val="3"/>
            <w:noWrap w:val="0"/>
            <w:vAlign w:val="center"/>
          </w:tcPr>
          <w:p w14:paraId="0940790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u w:val="single"/>
              </w:rPr>
              <w:t xml:space="preserve"> </w:t>
            </w:r>
            <w:r>
              <w:rPr>
                <w:rFonts w:hint="eastAsia" w:ascii="Times New Roman" w:hAnsi="Times New Roman" w:cs="Times New Roman"/>
                <w:color w:val="auto"/>
                <w:szCs w:val="21"/>
                <w:u w:val="single"/>
                <w:lang w:val="en-US" w:eastAsia="zh-CN"/>
              </w:rPr>
              <w:t>宁夏回族自治区</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省（自治区）</w:t>
            </w:r>
            <w:r>
              <w:rPr>
                <w:rFonts w:hint="default" w:ascii="Times New Roman" w:hAnsi="Times New Roman" w:cs="Times New Roman"/>
                <w:color w:val="auto"/>
                <w:szCs w:val="21"/>
                <w:u w:val="single"/>
              </w:rPr>
              <w:t xml:space="preserve"> </w:t>
            </w:r>
            <w:r>
              <w:rPr>
                <w:rFonts w:hint="eastAsia" w:ascii="Times New Roman" w:hAnsi="Times New Roman" w:cs="Times New Roman"/>
                <w:color w:val="auto"/>
                <w:szCs w:val="21"/>
                <w:u w:val="single"/>
                <w:lang w:val="en-US" w:eastAsia="zh-CN"/>
              </w:rPr>
              <w:t>固原</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市</w:t>
            </w:r>
            <w:r>
              <w:rPr>
                <w:rFonts w:hint="default" w:ascii="Times New Roman" w:hAnsi="Times New Roman" w:cs="Times New Roman"/>
                <w:color w:val="auto"/>
                <w:szCs w:val="21"/>
                <w:u w:val="single"/>
              </w:rPr>
              <w:t xml:space="preserve"> </w:t>
            </w:r>
            <w:r>
              <w:rPr>
                <w:rFonts w:hint="eastAsia" w:ascii="Times New Roman" w:hAnsi="Times New Roman" w:cs="Times New Roman"/>
                <w:color w:val="auto"/>
                <w:szCs w:val="21"/>
                <w:u w:val="single"/>
                <w:lang w:val="en-US" w:eastAsia="zh-CN"/>
              </w:rPr>
              <w:t>原州区</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县（区）</w:t>
            </w:r>
            <w:r>
              <w:rPr>
                <w:rFonts w:hint="default" w:ascii="Times New Roman" w:hAnsi="Times New Roman" w:cs="Times New Roman"/>
                <w:color w:val="auto"/>
                <w:szCs w:val="21"/>
                <w:u w:val="single"/>
              </w:rPr>
              <w:t xml:space="preserve"> 经济开发区 </w:t>
            </w:r>
            <w:r>
              <w:rPr>
                <w:rFonts w:hint="default" w:ascii="Times New Roman" w:hAnsi="Times New Roman" w:cs="Times New Roman"/>
                <w:color w:val="auto"/>
                <w:szCs w:val="21"/>
              </w:rPr>
              <w:t>乡（街道）</w:t>
            </w:r>
            <w:r>
              <w:rPr>
                <w:rFonts w:hint="default" w:ascii="Times New Roman" w:hAnsi="Times New Roman" w:cs="Times New Roman"/>
                <w:color w:val="auto"/>
                <w:szCs w:val="21"/>
                <w:u w:val="single"/>
              </w:rPr>
              <w:t xml:space="preserve"> 新材料产业园</w:t>
            </w:r>
            <w:r>
              <w:rPr>
                <w:rFonts w:hint="eastAsia" w:ascii="Times New Roman" w:hAnsi="Times New Roman" w:cs="Times New Roman"/>
                <w:color w:val="auto"/>
                <w:szCs w:val="21"/>
                <w:u w:val="single"/>
                <w:lang w:val="en-US" w:eastAsia="zh-CN"/>
              </w:rPr>
              <w:t>内</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（具体地址）</w:t>
            </w:r>
          </w:p>
        </w:tc>
      </w:tr>
      <w:tr w14:paraId="0F5F5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7214BDE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380" w:type="dxa"/>
            <w:gridSpan w:val="3"/>
            <w:noWrap w:val="0"/>
            <w:vAlign w:val="center"/>
          </w:tcPr>
          <w:p w14:paraId="511C578A">
            <w:pPr>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106</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09</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37.133</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36</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10</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u w:val="single"/>
                <w:lang w:val="en-US" w:eastAsia="zh-CN"/>
              </w:rPr>
              <w:t>39.197</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秒）</w:t>
            </w:r>
          </w:p>
        </w:tc>
      </w:tr>
      <w:tr w14:paraId="0EF7BC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18" w:type="dxa"/>
            <w:noWrap w:val="0"/>
            <w:tcMar>
              <w:top w:w="16" w:type="dxa"/>
              <w:left w:w="16" w:type="dxa"/>
              <w:right w:w="16" w:type="dxa"/>
            </w:tcMar>
            <w:vAlign w:val="center"/>
          </w:tcPr>
          <w:p w14:paraId="0DF1FC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国民经济</w:t>
            </w:r>
          </w:p>
          <w:p w14:paraId="540460B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1830" w:type="dxa"/>
            <w:noWrap w:val="0"/>
            <w:vAlign w:val="center"/>
          </w:tcPr>
          <w:p w14:paraId="789FBD0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C2619其他基础化学原料制造</w:t>
            </w:r>
          </w:p>
        </w:tc>
        <w:tc>
          <w:tcPr>
            <w:tcW w:w="2450" w:type="dxa"/>
            <w:noWrap w:val="0"/>
            <w:vAlign w:val="center"/>
          </w:tcPr>
          <w:p w14:paraId="35C6AC33">
            <w:pPr>
              <w:adjustRightInd w:val="0"/>
              <w:snapToGrid w:val="0"/>
              <w:jc w:val="center"/>
              <w:rPr>
                <w:rFonts w:hint="default" w:ascii="Times New Roman" w:hAnsi="Times New Roman" w:cs="Times New Roman"/>
                <w:color w:val="auto"/>
                <w:szCs w:val="21"/>
              </w:rPr>
            </w:pPr>
            <w:bookmarkStart w:id="1" w:name="_Hlk49843745"/>
            <w:r>
              <w:rPr>
                <w:rFonts w:hint="default" w:ascii="Times New Roman" w:hAnsi="Times New Roman" w:cs="Times New Roman"/>
                <w:color w:val="auto"/>
                <w:szCs w:val="21"/>
              </w:rPr>
              <w:t>建设项目</w:t>
            </w:r>
          </w:p>
          <w:p w14:paraId="105E50B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bookmarkEnd w:id="1"/>
          </w:p>
        </w:tc>
        <w:tc>
          <w:tcPr>
            <w:tcW w:w="3100" w:type="dxa"/>
            <w:noWrap w:val="0"/>
            <w:vAlign w:val="center"/>
          </w:tcPr>
          <w:p w14:paraId="06B0C70C">
            <w:pPr>
              <w:pStyle w:val="23"/>
              <w:bidi w:val="0"/>
              <w:spacing w:line="240" w:lineRule="auto"/>
              <w:ind w:left="0" w:leftChars="0"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kern w:val="2"/>
                <w:sz w:val="24"/>
                <w:szCs w:val="21"/>
                <w:u w:val="none"/>
                <w:lang w:val="en-US" w:eastAsia="zh-CN" w:bidi="ar-SA"/>
              </w:rPr>
              <w:t>二十三、化学原料和化学制品制造业26-基础化学原料制造261（单纯物理分离、物理提纯、混合、分装的</w:t>
            </w:r>
            <w:r>
              <w:rPr>
                <w:rFonts w:hint="eastAsia" w:cs="Times New Roman"/>
                <w:color w:val="auto"/>
                <w:kern w:val="2"/>
                <w:sz w:val="24"/>
                <w:szCs w:val="21"/>
                <w:u w:val="none"/>
                <w:lang w:val="en-US" w:eastAsia="zh-CN" w:bidi="ar-SA"/>
              </w:rPr>
              <w:t>（</w:t>
            </w:r>
            <w:r>
              <w:rPr>
                <w:rFonts w:hint="default" w:ascii="Times New Roman" w:hAnsi="Times New Roman" w:eastAsia="宋体" w:cs="Times New Roman"/>
                <w:color w:val="auto"/>
                <w:kern w:val="2"/>
                <w:sz w:val="24"/>
                <w:szCs w:val="21"/>
                <w:u w:val="none"/>
                <w:lang w:val="en-US" w:eastAsia="zh-CN" w:bidi="ar-SA"/>
              </w:rPr>
              <w:t>不产生废水或挥发性有机物的除外</w:t>
            </w:r>
            <w:r>
              <w:rPr>
                <w:rFonts w:hint="eastAsia" w:cs="Times New Roman"/>
                <w:color w:val="auto"/>
                <w:kern w:val="2"/>
                <w:sz w:val="24"/>
                <w:szCs w:val="21"/>
                <w:u w:val="none"/>
                <w:lang w:val="en-US" w:eastAsia="zh-CN" w:bidi="ar-SA"/>
              </w:rPr>
              <w:t>））</w:t>
            </w:r>
          </w:p>
        </w:tc>
      </w:tr>
      <w:tr w14:paraId="0194C4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18" w:type="dxa"/>
            <w:noWrap w:val="0"/>
            <w:tcMar>
              <w:top w:w="16" w:type="dxa"/>
              <w:left w:w="16" w:type="dxa"/>
              <w:right w:w="16" w:type="dxa"/>
            </w:tcMar>
            <w:vAlign w:val="center"/>
          </w:tcPr>
          <w:p w14:paraId="042D9E1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1830" w:type="dxa"/>
            <w:noWrap w:val="0"/>
            <w:vAlign w:val="center"/>
          </w:tcPr>
          <w:p w14:paraId="49466038">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新建（迁建）</w:t>
            </w:r>
          </w:p>
          <w:p w14:paraId="32349E64">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改建</w:t>
            </w:r>
          </w:p>
          <w:p w14:paraId="40E843FC">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扩建</w:t>
            </w:r>
          </w:p>
          <w:p w14:paraId="751AB3C0">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技术改造</w:t>
            </w:r>
          </w:p>
        </w:tc>
        <w:tc>
          <w:tcPr>
            <w:tcW w:w="2450" w:type="dxa"/>
            <w:noWrap w:val="0"/>
            <w:vAlign w:val="center"/>
          </w:tcPr>
          <w:p w14:paraId="703558C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14:paraId="4DE0AA5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3100" w:type="dxa"/>
            <w:noWrap w:val="0"/>
            <w:vAlign w:val="center"/>
          </w:tcPr>
          <w:p w14:paraId="6C79E3A6">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 xml:space="preserve">首次申报项目             </w:t>
            </w:r>
          </w:p>
          <w:p w14:paraId="34C40F19">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不予批准后再次申报项目</w:t>
            </w:r>
          </w:p>
          <w:p w14:paraId="7C983341">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 xml:space="preserve">超五年重新审核项目     </w:t>
            </w:r>
          </w:p>
          <w:p w14:paraId="009CA41E">
            <w:pPr>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重大变动重新报批项目</w:t>
            </w:r>
          </w:p>
        </w:tc>
      </w:tr>
      <w:tr w14:paraId="38FA7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18" w:type="dxa"/>
            <w:noWrap w:val="0"/>
            <w:tcMar>
              <w:top w:w="16" w:type="dxa"/>
              <w:left w:w="16" w:type="dxa"/>
              <w:right w:w="16" w:type="dxa"/>
            </w:tcMar>
            <w:vAlign w:val="center"/>
          </w:tcPr>
          <w:p w14:paraId="5F74D3D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7C77AB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1830" w:type="dxa"/>
            <w:noWrap w:val="0"/>
            <w:vAlign w:val="center"/>
          </w:tcPr>
          <w:p w14:paraId="03565BC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固原经济开发区管理委员会</w:t>
            </w:r>
          </w:p>
        </w:tc>
        <w:tc>
          <w:tcPr>
            <w:tcW w:w="2450" w:type="dxa"/>
            <w:noWrap w:val="0"/>
            <w:vAlign w:val="center"/>
          </w:tcPr>
          <w:p w14:paraId="2A85CE7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14:paraId="3AE4B5A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3100" w:type="dxa"/>
            <w:noWrap w:val="0"/>
            <w:vAlign w:val="center"/>
          </w:tcPr>
          <w:p w14:paraId="4014F1A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18851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29DA9E4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830" w:type="dxa"/>
            <w:noWrap w:val="0"/>
            <w:vAlign w:val="center"/>
          </w:tcPr>
          <w:p w14:paraId="0F44168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1400</w:t>
            </w:r>
          </w:p>
        </w:tc>
        <w:tc>
          <w:tcPr>
            <w:tcW w:w="2450" w:type="dxa"/>
            <w:noWrap w:val="0"/>
            <w:tcMar>
              <w:top w:w="16" w:type="dxa"/>
              <w:left w:w="16" w:type="dxa"/>
              <w:right w:w="16" w:type="dxa"/>
            </w:tcMar>
            <w:vAlign w:val="center"/>
          </w:tcPr>
          <w:p w14:paraId="735AEFC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3100" w:type="dxa"/>
            <w:noWrap w:val="0"/>
            <w:vAlign w:val="center"/>
          </w:tcPr>
          <w:p w14:paraId="5683E167">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w:t>
            </w:r>
          </w:p>
        </w:tc>
      </w:tr>
      <w:tr w14:paraId="294604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6FBB027D">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830" w:type="dxa"/>
            <w:noWrap w:val="0"/>
            <w:vAlign w:val="center"/>
          </w:tcPr>
          <w:p w14:paraId="3F05522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3.1</w:t>
            </w:r>
          </w:p>
        </w:tc>
        <w:tc>
          <w:tcPr>
            <w:tcW w:w="2450" w:type="dxa"/>
            <w:noWrap w:val="0"/>
            <w:tcMar>
              <w:top w:w="16" w:type="dxa"/>
              <w:left w:w="16" w:type="dxa"/>
              <w:right w:w="16" w:type="dxa"/>
            </w:tcMar>
            <w:vAlign w:val="center"/>
          </w:tcPr>
          <w:p w14:paraId="6F6453D6">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3100" w:type="dxa"/>
            <w:noWrap w:val="0"/>
            <w:vAlign w:val="center"/>
          </w:tcPr>
          <w:p w14:paraId="02D14083">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12个月</w:t>
            </w:r>
          </w:p>
        </w:tc>
      </w:tr>
      <w:tr w14:paraId="09313D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18" w:type="dxa"/>
            <w:noWrap w:val="0"/>
            <w:tcMar>
              <w:top w:w="16" w:type="dxa"/>
              <w:left w:w="16" w:type="dxa"/>
              <w:right w:w="16" w:type="dxa"/>
            </w:tcMar>
            <w:vAlign w:val="center"/>
          </w:tcPr>
          <w:p w14:paraId="0B48713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1830" w:type="dxa"/>
            <w:noWrap w:val="0"/>
            <w:vAlign w:val="center"/>
          </w:tcPr>
          <w:p w14:paraId="54C1BAE2">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52"/>
            </w:r>
            <w:r>
              <w:rPr>
                <w:rFonts w:hint="default" w:ascii="Times New Roman" w:hAnsi="Times New Roman" w:cs="Times New Roman"/>
                <w:color w:val="auto"/>
                <w:szCs w:val="21"/>
              </w:rPr>
              <w:t>否</w:t>
            </w:r>
          </w:p>
          <w:p w14:paraId="7EA0D0F5">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00A3"/>
            </w: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c>
          <w:tcPr>
            <w:tcW w:w="2450" w:type="dxa"/>
            <w:noWrap w:val="0"/>
            <w:tcMar>
              <w:top w:w="16" w:type="dxa"/>
              <w:left w:w="16" w:type="dxa"/>
              <w:right w:w="16" w:type="dxa"/>
            </w:tcMar>
            <w:vAlign w:val="center"/>
          </w:tcPr>
          <w:p w14:paraId="3BFBE877">
            <w:pPr>
              <w:adjustRightInd w:val="0"/>
              <w:snapToGrid w:val="0"/>
              <w:jc w:val="center"/>
              <w:rPr>
                <w:rFonts w:hint="default" w:ascii="Times New Roman" w:hAnsi="Times New Roman" w:cs="Times New Roman"/>
                <w:color w:val="auto"/>
                <w:spacing w:val="-6"/>
                <w:szCs w:val="21"/>
              </w:rPr>
            </w:pPr>
            <w:r>
              <w:rPr>
                <w:rFonts w:hint="default" w:ascii="Times New Roman" w:hAnsi="Times New Roman" w:cs="Times New Roman"/>
                <w:color w:val="auto"/>
                <w:spacing w:val="-6"/>
                <w:szCs w:val="21"/>
              </w:rPr>
              <w:t>用地（用海）</w:t>
            </w:r>
          </w:p>
          <w:p w14:paraId="0B2AE46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pacing w:val="-6"/>
                <w:szCs w:val="21"/>
              </w:rPr>
              <w:t>面积（m</w:t>
            </w:r>
            <w:r>
              <w:rPr>
                <w:rFonts w:hint="default" w:ascii="Times New Roman" w:hAnsi="Times New Roman" w:cs="Times New Roman"/>
                <w:color w:val="auto"/>
                <w:spacing w:val="-6"/>
                <w:szCs w:val="21"/>
                <w:vertAlign w:val="superscript"/>
              </w:rPr>
              <w:t>2</w:t>
            </w:r>
            <w:r>
              <w:rPr>
                <w:rFonts w:hint="default" w:ascii="Times New Roman" w:hAnsi="Times New Roman" w:cs="Times New Roman"/>
                <w:color w:val="auto"/>
                <w:spacing w:val="-6"/>
                <w:szCs w:val="21"/>
              </w:rPr>
              <w:t>）</w:t>
            </w:r>
          </w:p>
        </w:tc>
        <w:tc>
          <w:tcPr>
            <w:tcW w:w="3100" w:type="dxa"/>
            <w:noWrap w:val="0"/>
            <w:vAlign w:val="center"/>
          </w:tcPr>
          <w:p w14:paraId="09B47683">
            <w:pPr>
              <w:adjustRightInd w:val="0"/>
              <w:snapToGrid w:val="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665</w:t>
            </w:r>
            <w:r>
              <w:rPr>
                <w:rFonts w:hint="eastAsia" w:cs="Times New Roman"/>
                <w:color w:val="auto"/>
                <w:szCs w:val="21"/>
                <w:lang w:val="en-US" w:eastAsia="zh-CN"/>
              </w:rPr>
              <w:t>4</w:t>
            </w:r>
            <w:r>
              <w:rPr>
                <w:rFonts w:hint="eastAsia" w:ascii="Times New Roman" w:hAnsi="Times New Roman" w:cs="Times New Roman"/>
                <w:color w:val="auto"/>
                <w:szCs w:val="21"/>
                <w:lang w:val="en-US" w:eastAsia="zh-CN"/>
              </w:rPr>
              <w:t>m</w:t>
            </w:r>
            <w:r>
              <w:rPr>
                <w:rFonts w:hint="eastAsia" w:ascii="Times New Roman" w:hAnsi="Times New Roman" w:cs="Times New Roman"/>
                <w:color w:val="auto"/>
                <w:szCs w:val="21"/>
                <w:vertAlign w:val="superscript"/>
                <w:lang w:val="en-US" w:eastAsia="zh-CN"/>
              </w:rPr>
              <w:t>2</w:t>
            </w:r>
          </w:p>
        </w:tc>
      </w:tr>
      <w:tr w14:paraId="1C7FD0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noWrap w:val="0"/>
            <w:vAlign w:val="center"/>
          </w:tcPr>
          <w:p w14:paraId="0C3FB869">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380" w:type="dxa"/>
            <w:gridSpan w:val="3"/>
            <w:noWrap w:val="0"/>
            <w:vAlign w:val="center"/>
          </w:tcPr>
          <w:p w14:paraId="762F2FC3">
            <w:pPr>
              <w:pStyle w:val="23"/>
              <w:bidi w:val="0"/>
              <w:ind w:left="0" w:leftChars="0" w:firstLine="0" w:firstLineChars="0"/>
              <w:rPr>
                <w:rFonts w:hint="default"/>
                <w:b/>
                <w:bCs/>
                <w:color w:val="auto"/>
                <w:lang w:val="en-US" w:eastAsia="zh-CN"/>
              </w:rPr>
            </w:pPr>
            <w:r>
              <w:rPr>
                <w:rFonts w:hint="eastAsia"/>
                <w:b/>
                <w:bCs/>
                <w:color w:val="auto"/>
                <w:lang w:val="en-US" w:eastAsia="zh-CN"/>
              </w:rPr>
              <w:t>环境风险</w:t>
            </w:r>
          </w:p>
          <w:p w14:paraId="514402D1">
            <w:pPr>
              <w:pStyle w:val="23"/>
              <w:bidi w:val="0"/>
              <w:rPr>
                <w:rFonts w:hint="eastAsia"/>
                <w:color w:val="auto"/>
                <w:lang w:val="en-US" w:eastAsia="zh-CN"/>
              </w:rPr>
            </w:pPr>
            <w:r>
              <w:rPr>
                <w:rFonts w:hint="eastAsia"/>
                <w:color w:val="auto"/>
                <w:lang w:val="en-US" w:eastAsia="zh-CN"/>
              </w:rPr>
              <w:t>本项目丙烷储存选用2台40m</w:t>
            </w:r>
            <w:r>
              <w:rPr>
                <w:rFonts w:hint="eastAsia"/>
                <w:color w:val="auto"/>
                <w:vertAlign w:val="superscript"/>
                <w:lang w:val="en-US" w:eastAsia="zh-CN"/>
              </w:rPr>
              <w:t>3</w:t>
            </w:r>
            <w:r>
              <w:rPr>
                <w:rFonts w:hint="eastAsia"/>
                <w:color w:val="auto"/>
                <w:vertAlign w:val="baseline"/>
                <w:lang w:val="en-US" w:eastAsia="zh-CN"/>
              </w:rPr>
              <w:t>的卧式储罐，</w:t>
            </w:r>
            <w:r>
              <w:rPr>
                <w:rFonts w:hint="eastAsia"/>
                <w:color w:val="auto"/>
                <w:lang w:val="en-US" w:eastAsia="zh-CN"/>
              </w:rPr>
              <w:t>设计最大储存量为46.4t。</w:t>
            </w:r>
          </w:p>
          <w:p w14:paraId="4E90BFC8">
            <w:pPr>
              <w:pStyle w:val="23"/>
              <w:bidi w:val="0"/>
              <w:rPr>
                <w:rFonts w:hint="default"/>
                <w:color w:val="auto"/>
                <w:lang w:val="en-US" w:eastAsia="zh-CN"/>
              </w:rPr>
            </w:pPr>
            <w:r>
              <w:rPr>
                <w:rFonts w:hint="eastAsia"/>
                <w:color w:val="auto"/>
                <w:lang w:val="en-US" w:eastAsia="zh-CN"/>
              </w:rPr>
              <w:t>本项目临时存放乙炔气瓶（40L/瓶），设计最大存储量为150瓶，约为0.3t。</w:t>
            </w:r>
          </w:p>
          <w:p w14:paraId="62A4534D">
            <w:pPr>
              <w:pStyle w:val="23"/>
              <w:bidi w:val="0"/>
              <w:rPr>
                <w:rFonts w:hint="default"/>
                <w:color w:val="auto"/>
                <w:lang w:val="en-US" w:eastAsia="zh-CN"/>
              </w:rPr>
            </w:pPr>
            <w:r>
              <w:rPr>
                <w:rFonts w:hint="eastAsia"/>
                <w:color w:val="auto"/>
                <w:lang w:val="en-US" w:eastAsia="zh-CN"/>
              </w:rPr>
              <w:t>根据《建设项目环境风险评价技术导则》（HJ169-2018），附录B.1中丙烷的临界量为10t、乙炔临界量为10t。需要设置环境风险专项评价（见</w:t>
            </w:r>
            <w:r>
              <w:rPr>
                <w:rFonts w:hint="eastAsia"/>
                <w:b/>
                <w:bCs/>
                <w:color w:val="auto"/>
                <w:lang w:val="en-US" w:eastAsia="zh-CN"/>
              </w:rPr>
              <w:t>附文</w:t>
            </w:r>
            <w:r>
              <w:rPr>
                <w:rFonts w:hint="eastAsia"/>
                <w:color w:val="auto"/>
                <w:lang w:val="en-US" w:eastAsia="zh-CN"/>
              </w:rPr>
              <w:t>）。</w:t>
            </w:r>
          </w:p>
        </w:tc>
      </w:tr>
      <w:tr w14:paraId="232AFE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noWrap w:val="0"/>
            <w:vAlign w:val="center"/>
          </w:tcPr>
          <w:p w14:paraId="4049B7E7">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380" w:type="dxa"/>
            <w:gridSpan w:val="3"/>
            <w:noWrap w:val="0"/>
            <w:vAlign w:val="center"/>
          </w:tcPr>
          <w:p w14:paraId="16464316">
            <w:pPr>
              <w:pStyle w:val="23"/>
              <w:bidi w:val="0"/>
              <w:rPr>
                <w:rFonts w:hint="default"/>
                <w:color w:val="auto"/>
                <w:lang w:val="en-US" w:eastAsia="zh-CN"/>
              </w:rPr>
            </w:pPr>
            <w:r>
              <w:rPr>
                <w:rFonts w:hint="default"/>
                <w:color w:val="auto"/>
                <w:lang w:val="en-US" w:eastAsia="zh-CN"/>
              </w:rPr>
              <w:t>规划名称：《固原市国民经济和社会发展第十四个五年规划和2023年远景目标纲要》；规划审批机关：固原市人民政府；</w:t>
            </w:r>
          </w:p>
          <w:p w14:paraId="777A0841">
            <w:pPr>
              <w:pStyle w:val="23"/>
              <w:bidi w:val="0"/>
              <w:rPr>
                <w:rFonts w:hint="default" w:ascii="Times New Roman" w:hAnsi="Times New Roman" w:cs="Times New Roman"/>
                <w:b/>
                <w:bCs/>
                <w:color w:val="auto"/>
                <w:kern w:val="0"/>
                <w:szCs w:val="21"/>
              </w:rPr>
            </w:pPr>
            <w:r>
              <w:rPr>
                <w:rFonts w:hint="default"/>
                <w:color w:val="auto"/>
                <w:lang w:val="en-US" w:eastAsia="zh-CN"/>
              </w:rPr>
              <w:t>审批文件名称及文号：固原市人民政府印发《固原市国民经济和社会发展第十四个五年规划和2023年远景目标纲要》（固政发[2021]9号）。</w:t>
            </w:r>
          </w:p>
        </w:tc>
      </w:tr>
      <w:tr w14:paraId="391B28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noWrap w:val="0"/>
            <w:vAlign w:val="center"/>
          </w:tcPr>
          <w:p w14:paraId="1AA4407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规划环境影响</w:t>
            </w:r>
          </w:p>
          <w:p w14:paraId="708CF07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评价情况</w:t>
            </w:r>
          </w:p>
        </w:tc>
        <w:tc>
          <w:tcPr>
            <w:tcW w:w="7380" w:type="dxa"/>
            <w:gridSpan w:val="3"/>
            <w:noWrap w:val="0"/>
            <w:vAlign w:val="center"/>
          </w:tcPr>
          <w:p w14:paraId="1F912E67">
            <w:pPr>
              <w:pStyle w:val="44"/>
              <w:bidi w:val="0"/>
              <w:rPr>
                <w:rFonts w:hint="eastAsia" w:ascii="Times New Roman" w:hAnsi="Times New Roman" w:eastAsia="宋体" w:cs="Times New Roman"/>
                <w:color w:val="auto"/>
                <w:kern w:val="0"/>
                <w:szCs w:val="21"/>
                <w:lang w:val="en-US" w:eastAsia="zh-CN"/>
              </w:rPr>
            </w:pPr>
            <w:r>
              <w:rPr>
                <w:rFonts w:hint="eastAsia"/>
                <w:b w:val="0"/>
                <w:bCs w:val="0"/>
                <w:color w:val="auto"/>
                <w:lang w:val="en-US" w:eastAsia="zh-CN"/>
              </w:rPr>
              <w:t>《宁夏固原经济开发区“一区三园”总体规划修编（2022-2035年）环境影响报告书》</w:t>
            </w:r>
          </w:p>
        </w:tc>
      </w:tr>
      <w:tr w14:paraId="0C5A7D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8" w:type="dxa"/>
            <w:noWrap w:val="0"/>
            <w:vAlign w:val="center"/>
          </w:tcPr>
          <w:p w14:paraId="0D5ADBEC">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规划及规划环境影响评价符合性分析</w:t>
            </w:r>
          </w:p>
        </w:tc>
        <w:tc>
          <w:tcPr>
            <w:tcW w:w="7380" w:type="dxa"/>
            <w:gridSpan w:val="3"/>
            <w:noWrap w:val="0"/>
            <w:vAlign w:val="center"/>
          </w:tcPr>
          <w:p w14:paraId="3621AEE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cs="Times New Roman"/>
                <w:b/>
                <w:bCs/>
                <w:color w:val="auto"/>
                <w:sz w:val="24"/>
                <w:lang w:val="en-US" w:eastAsia="zh-CN"/>
              </w:rPr>
              <w:t>1.</w:t>
            </w:r>
            <w:r>
              <w:rPr>
                <w:rFonts w:hint="default" w:ascii="Times New Roman" w:hAnsi="Times New Roman" w:eastAsia="宋体" w:cs="Times New Roman"/>
                <w:b/>
                <w:bCs/>
                <w:color w:val="auto"/>
                <w:sz w:val="24"/>
                <w:lang w:val="en-US" w:eastAsia="zh-CN"/>
              </w:rPr>
              <w:t>与《宁夏固原经济开发区“一区三园”总体规划修编（2022-2035年）环境影响报告书》的符合性分析</w:t>
            </w:r>
          </w:p>
          <w:p w14:paraId="27DB06A6">
            <w:pPr>
              <w:pStyle w:val="44"/>
              <w:bidi w:val="0"/>
              <w:rPr>
                <w:rFonts w:hint="eastAsia"/>
                <w:color w:val="auto"/>
                <w:lang w:val="en-US" w:eastAsia="zh-CN"/>
              </w:rPr>
            </w:pPr>
            <w:r>
              <w:rPr>
                <w:rFonts w:hint="eastAsia"/>
                <w:color w:val="auto"/>
                <w:lang w:val="en-US" w:eastAsia="zh-CN"/>
              </w:rPr>
              <w:t>根据《宁夏固原经济开发区“一区三园”总体规划修编（2022-2035年）环境影响报告书》，新材料产业园包含原新材料产业园区块和圆德慈善产业园冬至河区块。由于两个区块紧邻、交通市政等基础设施共享，因此划为一个园区，总规划用地面积15.4km</w:t>
            </w:r>
            <w:r>
              <w:rPr>
                <w:rFonts w:hint="eastAsia"/>
                <w:color w:val="auto"/>
                <w:vertAlign w:val="superscript"/>
                <w:lang w:val="en-US" w:eastAsia="zh-CN"/>
              </w:rPr>
              <w:t>2</w:t>
            </w:r>
            <w:r>
              <w:rPr>
                <w:rFonts w:hint="eastAsia"/>
                <w:color w:val="auto"/>
                <w:lang w:val="en-US" w:eastAsia="zh-CN"/>
              </w:rPr>
              <w:t>。产业园东至西干渠，南至彭堡乡申庄村</w:t>
            </w:r>
            <w:bookmarkStart w:id="9" w:name="_GoBack"/>
            <w:bookmarkEnd w:id="9"/>
            <w:r>
              <w:rPr>
                <w:rFonts w:hint="eastAsia"/>
                <w:color w:val="auto"/>
                <w:lang w:val="en-US" w:eastAsia="zh-CN"/>
              </w:rPr>
              <w:t>，西至西山脚，北至头营镇杨庄村，主导产业为有机新材料。</w:t>
            </w:r>
          </w:p>
          <w:p w14:paraId="3C91E32E">
            <w:pPr>
              <w:pStyle w:val="44"/>
              <w:bidi w:val="0"/>
              <w:rPr>
                <w:rFonts w:hint="eastAsia"/>
                <w:color w:val="auto"/>
                <w:lang w:val="en-US" w:eastAsia="zh-CN"/>
              </w:rPr>
            </w:pPr>
            <w:r>
              <w:rPr>
                <w:rFonts w:hint="eastAsia"/>
                <w:color w:val="auto"/>
                <w:lang w:val="en-US" w:eastAsia="zh-CN"/>
              </w:rPr>
              <w:t>本项目位于新材料产业园，新材料产业园规划形成“一核、三带、三区、多板块”的规划结构。三区：以盐化工产业为主的盐化工产业发展区，以风电、光电等为主的新能源产业发展区，以新型墙体材料、防水材料、乙炔深加工、氯碱深加工、矿盐相关理疗保健品生产等为主的循环产业发展区。</w:t>
            </w:r>
          </w:p>
          <w:p w14:paraId="03F732CB">
            <w:pPr>
              <w:pStyle w:val="23"/>
              <w:bidi w:val="0"/>
              <w:rPr>
                <w:rFonts w:hint="eastAsia"/>
                <w:color w:val="auto"/>
                <w:lang w:val="en-US" w:eastAsia="zh-CN"/>
              </w:rPr>
            </w:pPr>
            <w:r>
              <w:rPr>
                <w:rFonts w:hint="eastAsia"/>
                <w:color w:val="auto"/>
                <w:lang w:val="en-US" w:eastAsia="zh-CN"/>
              </w:rPr>
              <w:t>本项目主要</w:t>
            </w:r>
            <w:r>
              <w:rPr>
                <w:rFonts w:hint="default" w:ascii="Times New Roman" w:hAnsi="Times New Roman" w:cs="Times New Roman"/>
                <w:color w:val="auto"/>
                <w:kern w:val="0"/>
                <w:szCs w:val="21"/>
              </w:rPr>
              <w:t>为气体充装项目</w:t>
            </w:r>
            <w:r>
              <w:rPr>
                <w:rFonts w:hint="eastAsia"/>
                <w:color w:val="auto"/>
                <w:lang w:val="en-US" w:eastAsia="zh-CN"/>
              </w:rPr>
              <w:t>，项目的建设符合固原经济开发区新材料产业园的发展定位，满足园区规划环评的要求。</w:t>
            </w:r>
          </w:p>
          <w:p w14:paraId="7FCEFF0F">
            <w:pPr>
              <w:pStyle w:val="25"/>
              <w:bidi w:val="0"/>
              <w:rPr>
                <w:rFonts w:hint="eastAsia"/>
                <w:lang w:val="en-US" w:eastAsia="zh-CN"/>
              </w:rPr>
            </w:pPr>
            <w:r>
              <w:rPr>
                <w:rFonts w:hint="eastAsia"/>
                <w:lang w:val="en-US" w:eastAsia="zh-CN"/>
              </w:rPr>
              <w:t>表1-1    宁夏固原经济开发区生态环境准入清单</w:t>
            </w:r>
          </w:p>
          <w:tbl>
            <w:tblPr>
              <w:tblStyle w:val="18"/>
              <w:tblW w:w="70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3561"/>
              <w:gridCol w:w="2806"/>
            </w:tblGrid>
            <w:tr w14:paraId="14AE5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83D39B3">
                  <w:pPr>
                    <w:pStyle w:val="24"/>
                    <w:bidi w:val="0"/>
                    <w:jc w:val="center"/>
                    <w:rPr>
                      <w:rFonts w:hint="default"/>
                      <w:b/>
                      <w:bCs/>
                      <w:lang w:val="en-US" w:eastAsia="zh-CN"/>
                    </w:rPr>
                  </w:pPr>
                  <w:r>
                    <w:rPr>
                      <w:rFonts w:hint="eastAsia"/>
                      <w:b/>
                      <w:bCs/>
                      <w:lang w:val="en-US" w:eastAsia="zh-CN"/>
                    </w:rPr>
                    <w:t>管控纬度</w:t>
                  </w:r>
                </w:p>
              </w:tc>
              <w:tc>
                <w:tcPr>
                  <w:tcW w:w="4023" w:type="dxa"/>
                  <w:vAlign w:val="center"/>
                </w:tcPr>
                <w:p w14:paraId="62468EC9">
                  <w:pPr>
                    <w:pStyle w:val="24"/>
                    <w:bidi w:val="0"/>
                    <w:jc w:val="center"/>
                    <w:rPr>
                      <w:rFonts w:hint="default"/>
                      <w:b/>
                      <w:bCs/>
                      <w:lang w:val="en-US" w:eastAsia="zh-CN"/>
                    </w:rPr>
                  </w:pPr>
                  <w:r>
                    <w:rPr>
                      <w:rFonts w:hint="eastAsia"/>
                      <w:b/>
                      <w:bCs/>
                      <w:lang w:val="en-US" w:eastAsia="zh-CN"/>
                    </w:rPr>
                    <w:t>管控要求</w:t>
                  </w:r>
                </w:p>
              </w:tc>
              <w:tc>
                <w:tcPr>
                  <w:tcW w:w="2281" w:type="dxa"/>
                  <w:vAlign w:val="center"/>
                </w:tcPr>
                <w:p w14:paraId="50D38C62">
                  <w:pPr>
                    <w:pStyle w:val="24"/>
                    <w:bidi w:val="0"/>
                    <w:jc w:val="center"/>
                    <w:rPr>
                      <w:rFonts w:hint="default"/>
                      <w:b/>
                      <w:bCs/>
                      <w:lang w:val="en-US" w:eastAsia="zh-CN"/>
                    </w:rPr>
                  </w:pPr>
                  <w:r>
                    <w:rPr>
                      <w:rFonts w:hint="eastAsia"/>
                      <w:b/>
                      <w:bCs/>
                      <w:lang w:val="en-US" w:eastAsia="zh-CN"/>
                    </w:rPr>
                    <w:t>本项目情况</w:t>
                  </w:r>
                </w:p>
              </w:tc>
            </w:tr>
            <w:tr w14:paraId="106EA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1A20050C">
                  <w:pPr>
                    <w:pStyle w:val="24"/>
                    <w:bidi w:val="0"/>
                    <w:jc w:val="center"/>
                    <w:rPr>
                      <w:rFonts w:hint="default"/>
                      <w:lang w:val="en-US" w:eastAsia="zh-CN"/>
                    </w:rPr>
                  </w:pPr>
                  <w:r>
                    <w:rPr>
                      <w:rFonts w:hint="default"/>
                      <w:lang w:val="en-US" w:eastAsia="zh-CN"/>
                    </w:rPr>
                    <w:t>空间布局</w:t>
                  </w:r>
                </w:p>
                <w:p w14:paraId="54132B24">
                  <w:pPr>
                    <w:pStyle w:val="24"/>
                    <w:bidi w:val="0"/>
                    <w:jc w:val="center"/>
                    <w:rPr>
                      <w:rFonts w:hint="default"/>
                      <w:lang w:val="en-US" w:eastAsia="zh-CN"/>
                    </w:rPr>
                  </w:pPr>
                  <w:r>
                    <w:rPr>
                      <w:rFonts w:hint="default"/>
                      <w:lang w:val="en-US" w:eastAsia="zh-CN"/>
                    </w:rPr>
                    <w:t>约束</w:t>
                  </w:r>
                </w:p>
              </w:tc>
              <w:tc>
                <w:tcPr>
                  <w:tcW w:w="4023" w:type="dxa"/>
                  <w:vAlign w:val="center"/>
                </w:tcPr>
                <w:p w14:paraId="3DBA5EAD">
                  <w:pPr>
                    <w:pStyle w:val="24"/>
                    <w:bidi w:val="0"/>
                    <w:jc w:val="both"/>
                    <w:rPr>
                      <w:rFonts w:hint="default"/>
                      <w:lang w:val="en-US" w:eastAsia="zh-CN"/>
                    </w:rPr>
                  </w:pPr>
                  <w:r>
                    <w:rPr>
                      <w:rFonts w:hint="default"/>
                      <w:lang w:val="en-US" w:eastAsia="zh-CN"/>
                    </w:rPr>
                    <w:t>1.禁止列入《产业结构调整指导目录（2019 年本）》中淘汰类、限制类项目建设。</w:t>
                  </w:r>
                </w:p>
                <w:p w14:paraId="0DC43256">
                  <w:pPr>
                    <w:pStyle w:val="24"/>
                    <w:bidi w:val="0"/>
                    <w:jc w:val="both"/>
                    <w:rPr>
                      <w:rFonts w:hint="default"/>
                      <w:lang w:val="en-US" w:eastAsia="zh-CN"/>
                    </w:rPr>
                  </w:pPr>
                  <w:r>
                    <w:rPr>
                      <w:rFonts w:hint="default"/>
                      <w:lang w:val="en-US" w:eastAsia="zh-CN"/>
                    </w:rPr>
                    <w:t>2.禁止新建不符合园区各地块主导、辅助产业定位的产业项目（规划主导产业延伸的鼓励类项目除外）。</w:t>
                  </w:r>
                </w:p>
                <w:p w14:paraId="27CDE04A">
                  <w:pPr>
                    <w:pStyle w:val="24"/>
                    <w:bidi w:val="0"/>
                    <w:jc w:val="both"/>
                    <w:rPr>
                      <w:rFonts w:hint="default"/>
                      <w:lang w:val="en-US" w:eastAsia="zh-CN"/>
                    </w:rPr>
                  </w:pPr>
                  <w:r>
                    <w:rPr>
                      <w:rFonts w:hint="default"/>
                      <w:lang w:val="en-US" w:eastAsia="zh-CN"/>
                    </w:rPr>
                    <w:t>3.《自治区化工项目准入目录》中限制类项目，禁止新建，项目核准备案机关不予核准或备案新建限制类项目;淘汰类项目，禁止投资，项目核准备案机关不予核准或备案淘汰类项目；已淘汰的落后产能（淘汰类）化工项目严禁异地落户进园入区；禁止新建、改建、扩建印染及含有毒有害物质的涂料产品入园。</w:t>
                  </w:r>
                </w:p>
                <w:p w14:paraId="5E0C29F7">
                  <w:pPr>
                    <w:pStyle w:val="24"/>
                    <w:bidi w:val="0"/>
                    <w:jc w:val="both"/>
                    <w:rPr>
                      <w:rFonts w:hint="default"/>
                      <w:lang w:val="en-US" w:eastAsia="zh-CN"/>
                    </w:rPr>
                  </w:pPr>
                  <w:r>
                    <w:rPr>
                      <w:rFonts w:hint="default"/>
                      <w:lang w:val="en-US" w:eastAsia="zh-CN"/>
                    </w:rPr>
                    <w:t>4.禁止引入不符合《自治区人民政府关于实施“三线一单”生态环境分区管控的通知》、《固原市人民政府关于实施“三线一单”生态环境分区管控的意见》的新建项目。</w:t>
                  </w:r>
                </w:p>
                <w:p w14:paraId="55E42330">
                  <w:pPr>
                    <w:pStyle w:val="24"/>
                    <w:bidi w:val="0"/>
                    <w:jc w:val="both"/>
                    <w:rPr>
                      <w:rFonts w:hint="default"/>
                      <w:lang w:val="en-US" w:eastAsia="zh-CN"/>
                    </w:rPr>
                  </w:pPr>
                  <w:r>
                    <w:rPr>
                      <w:rFonts w:hint="default"/>
                      <w:lang w:val="en-US" w:eastAsia="zh-CN"/>
                    </w:rPr>
                    <w:t>5.禁止引入高耗水、高耗能、高污染项目（不包括国家、自治区规划重大建设项目），限发展煤炭、电力（不包括国家、自治区规划重大建设项目）、医药（不含中医药）、冶金等行业的新建项目。</w:t>
                  </w:r>
                </w:p>
                <w:p w14:paraId="53E600FC">
                  <w:pPr>
                    <w:pStyle w:val="24"/>
                    <w:bidi w:val="0"/>
                    <w:jc w:val="both"/>
                    <w:rPr>
                      <w:rFonts w:hint="default"/>
                      <w:lang w:val="en-US" w:eastAsia="zh-CN"/>
                    </w:rPr>
                  </w:pPr>
                  <w:r>
                    <w:rPr>
                      <w:rFonts w:hint="default"/>
                      <w:lang w:val="en-US" w:eastAsia="zh-CN"/>
                    </w:rPr>
                    <w:t>6.化学原料药项目须满足《宁夏回族自治区化学原料药行业环境准入指导意见》中规划布局、项目选址、技术装备水平、污染防治措施、总量控制与清洁生产等管控要求。</w:t>
                  </w:r>
                </w:p>
                <w:p w14:paraId="6AAAB225">
                  <w:pPr>
                    <w:pStyle w:val="24"/>
                    <w:bidi w:val="0"/>
                    <w:jc w:val="both"/>
                    <w:rPr>
                      <w:rFonts w:hint="default"/>
                      <w:lang w:val="en-US" w:eastAsia="zh-CN"/>
                    </w:rPr>
                  </w:pPr>
                  <w:r>
                    <w:rPr>
                      <w:rFonts w:hint="default"/>
                      <w:lang w:val="en-US" w:eastAsia="zh-CN"/>
                    </w:rPr>
                    <w:t>7.污染地块（土壤重金属超标、污染企业退出的遗留污染宗地）未经治理与修复，或者经治理与修复但未达到土壤污染风险评估报告确定的风险管控、修复目标的建设用地地块，禁止开工建设任何与风险管控、修复无关的项目。</w:t>
                  </w:r>
                </w:p>
              </w:tc>
              <w:tc>
                <w:tcPr>
                  <w:tcW w:w="2281" w:type="dxa"/>
                  <w:vAlign w:val="center"/>
                </w:tcPr>
                <w:p w14:paraId="45ACDF13">
                  <w:pPr>
                    <w:pStyle w:val="24"/>
                    <w:bidi w:val="0"/>
                    <w:jc w:val="center"/>
                    <w:rPr>
                      <w:rFonts w:hint="eastAsia"/>
                      <w:lang w:val="en-US" w:eastAsia="zh-CN"/>
                    </w:rPr>
                  </w:pPr>
                  <w:r>
                    <w:rPr>
                      <w:rFonts w:hint="eastAsia"/>
                      <w:lang w:val="en-US" w:eastAsia="zh-CN"/>
                    </w:rPr>
                    <w:t>1.本项目项目不在核准、限制和淘汰产业目录内，本项目符地方产业发展政策。</w:t>
                  </w:r>
                </w:p>
                <w:p w14:paraId="10156189">
                  <w:pPr>
                    <w:pStyle w:val="24"/>
                    <w:bidi w:val="0"/>
                    <w:jc w:val="center"/>
                    <w:rPr>
                      <w:rFonts w:hint="eastAsia"/>
                      <w:lang w:val="en-US" w:eastAsia="zh-CN"/>
                    </w:rPr>
                  </w:pPr>
                  <w:r>
                    <w:rPr>
                      <w:rFonts w:hint="eastAsia"/>
                      <w:lang w:val="en-US" w:eastAsia="zh-CN"/>
                    </w:rPr>
                    <w:t>2.本项目属于园区各地块辅助产业定位的产业项目。</w:t>
                  </w:r>
                </w:p>
                <w:p w14:paraId="00D60249">
                  <w:pPr>
                    <w:pStyle w:val="24"/>
                    <w:bidi w:val="0"/>
                    <w:jc w:val="center"/>
                    <w:rPr>
                      <w:rFonts w:hint="eastAsia"/>
                      <w:lang w:val="en-US" w:eastAsia="zh-CN"/>
                    </w:rPr>
                  </w:pPr>
                  <w:r>
                    <w:rPr>
                      <w:rFonts w:hint="eastAsia"/>
                      <w:lang w:val="en-US" w:eastAsia="zh-CN"/>
                    </w:rPr>
                    <w:t>3.项目已得到宁夏固原经济开发区管理委员会备案，项目代码为：2211-640940-04-01-846836，符合国家和地方产业政策要求。</w:t>
                  </w:r>
                </w:p>
                <w:p w14:paraId="00FF7A81">
                  <w:pPr>
                    <w:pStyle w:val="24"/>
                    <w:bidi w:val="0"/>
                    <w:jc w:val="center"/>
                    <w:rPr>
                      <w:rFonts w:hint="eastAsia"/>
                      <w:lang w:val="en-US" w:eastAsia="zh-CN"/>
                    </w:rPr>
                  </w:pPr>
                  <w:r>
                    <w:rPr>
                      <w:rFonts w:hint="eastAsia"/>
                      <w:lang w:val="en-US" w:eastAsia="zh-CN"/>
                    </w:rPr>
                    <w:t>4.本项目符合“三线一单”生态环境分区管控要求。</w:t>
                  </w:r>
                </w:p>
                <w:p w14:paraId="63651A1C">
                  <w:pPr>
                    <w:pStyle w:val="24"/>
                    <w:bidi w:val="0"/>
                    <w:jc w:val="center"/>
                    <w:rPr>
                      <w:rFonts w:hint="eastAsia"/>
                      <w:lang w:val="en-US" w:eastAsia="zh-CN"/>
                    </w:rPr>
                  </w:pPr>
                  <w:r>
                    <w:rPr>
                      <w:rFonts w:hint="eastAsia"/>
                      <w:lang w:val="en-US" w:eastAsia="zh-CN"/>
                    </w:rPr>
                    <w:t>5.本项目为气瓶充装类项目，不涉及高耗水、高耗能、高污染项目。。</w:t>
                  </w:r>
                </w:p>
                <w:p w14:paraId="37F8B5AF">
                  <w:pPr>
                    <w:pStyle w:val="24"/>
                    <w:bidi w:val="0"/>
                    <w:jc w:val="center"/>
                    <w:rPr>
                      <w:rFonts w:hint="eastAsia"/>
                      <w:lang w:val="en-US" w:eastAsia="zh-CN"/>
                    </w:rPr>
                  </w:pPr>
                  <w:r>
                    <w:rPr>
                      <w:rFonts w:hint="eastAsia"/>
                      <w:lang w:val="en-US" w:eastAsia="zh-CN"/>
                    </w:rPr>
                    <w:t>6.不涉及。</w:t>
                  </w:r>
                </w:p>
                <w:p w14:paraId="78E17A38">
                  <w:pPr>
                    <w:pStyle w:val="24"/>
                    <w:bidi w:val="0"/>
                    <w:jc w:val="center"/>
                    <w:rPr>
                      <w:rFonts w:hint="default"/>
                      <w:lang w:val="en-US" w:eastAsia="zh-CN"/>
                    </w:rPr>
                  </w:pPr>
                  <w:r>
                    <w:rPr>
                      <w:rFonts w:hint="eastAsia"/>
                      <w:lang w:val="en-US" w:eastAsia="zh-CN"/>
                    </w:rPr>
                    <w:t>7.不涉及。</w:t>
                  </w:r>
                </w:p>
                <w:p w14:paraId="4A4D28D6">
                  <w:pPr>
                    <w:pStyle w:val="24"/>
                    <w:bidi w:val="0"/>
                    <w:jc w:val="center"/>
                    <w:rPr>
                      <w:rFonts w:hint="default"/>
                      <w:lang w:val="en-US" w:eastAsia="zh-CN"/>
                    </w:rPr>
                  </w:pPr>
                </w:p>
              </w:tc>
            </w:tr>
            <w:tr w14:paraId="19DE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49D0A227">
                  <w:pPr>
                    <w:pStyle w:val="24"/>
                    <w:bidi w:val="0"/>
                    <w:jc w:val="center"/>
                    <w:rPr>
                      <w:rFonts w:hint="default"/>
                      <w:lang w:val="en-US" w:eastAsia="zh-CN"/>
                    </w:rPr>
                  </w:pPr>
                  <w:r>
                    <w:rPr>
                      <w:rFonts w:hint="default"/>
                      <w:lang w:val="en-US" w:eastAsia="zh-CN"/>
                    </w:rPr>
                    <w:t>污染物排</w:t>
                  </w:r>
                </w:p>
                <w:p w14:paraId="6CA310C6">
                  <w:pPr>
                    <w:pStyle w:val="24"/>
                    <w:bidi w:val="0"/>
                    <w:jc w:val="center"/>
                    <w:rPr>
                      <w:rFonts w:hint="default"/>
                      <w:lang w:val="en-US" w:eastAsia="zh-CN"/>
                    </w:rPr>
                  </w:pPr>
                  <w:r>
                    <w:rPr>
                      <w:rFonts w:hint="default"/>
                      <w:lang w:val="en-US" w:eastAsia="zh-CN"/>
                    </w:rPr>
                    <w:t>放管控</w:t>
                  </w:r>
                </w:p>
              </w:tc>
              <w:tc>
                <w:tcPr>
                  <w:tcW w:w="4023" w:type="dxa"/>
                  <w:vAlign w:val="center"/>
                </w:tcPr>
                <w:p w14:paraId="71FB93F0">
                  <w:pPr>
                    <w:pStyle w:val="24"/>
                    <w:bidi w:val="0"/>
                    <w:jc w:val="both"/>
                    <w:rPr>
                      <w:rFonts w:hint="default"/>
                      <w:lang w:val="en-US" w:eastAsia="zh-CN"/>
                    </w:rPr>
                  </w:pPr>
                  <w:r>
                    <w:rPr>
                      <w:rFonts w:hint="default"/>
                      <w:lang w:val="en-US" w:eastAsia="zh-CN"/>
                    </w:rPr>
                    <w:t>1.涉VOCs排放的工业企业准入须满足《宁夏回族自治区挥发性有机物污染专项治理工作方案》及本次评价提出污染治理要求。</w:t>
                  </w:r>
                </w:p>
                <w:p w14:paraId="7BF9D833">
                  <w:pPr>
                    <w:pStyle w:val="24"/>
                    <w:bidi w:val="0"/>
                    <w:jc w:val="both"/>
                    <w:rPr>
                      <w:rFonts w:hint="default"/>
                      <w:lang w:val="en-US" w:eastAsia="zh-CN"/>
                    </w:rPr>
                  </w:pPr>
                  <w:r>
                    <w:rPr>
                      <w:rFonts w:hint="default"/>
                      <w:lang w:val="en-US" w:eastAsia="zh-CN"/>
                    </w:rPr>
                    <w:t>2.要求火电机组（含自备电厂）全部完成超低排放改造；2025 年底前 65 蒸吨及以上燃煤锅炉（含电力）全面实现超低排放；原则上不再新建 35 蒸吨/小时以下的燃煤锅炉，城市建成区基本淘汰 35 蒸吨/小时以下的燃煤锅炉。现有燃气锅炉逐步开展低氮燃烧改造，到 2025 年，全区所有燃气锅炉氮氧化物排放浓度低于 50 毫克/立方米。</w:t>
                  </w:r>
                </w:p>
                <w:p w14:paraId="71A351F9">
                  <w:pPr>
                    <w:pStyle w:val="24"/>
                    <w:bidi w:val="0"/>
                    <w:jc w:val="both"/>
                    <w:rPr>
                      <w:rFonts w:hint="default"/>
                      <w:lang w:val="en-US" w:eastAsia="zh-CN"/>
                    </w:rPr>
                  </w:pPr>
                  <w:r>
                    <w:rPr>
                      <w:rFonts w:hint="default"/>
                      <w:lang w:val="en-US" w:eastAsia="zh-CN"/>
                    </w:rPr>
                    <w:t>3.在保证电力、热力供应前提下，鼓励 30 万千瓦及以上热电联产电厂供热半径 30km范围内的燃煤锅炉和燃煤小热电机组（含自备电厂）基本完成关停整合。</w:t>
                  </w:r>
                </w:p>
                <w:p w14:paraId="5EA02598">
                  <w:pPr>
                    <w:pStyle w:val="24"/>
                    <w:bidi w:val="0"/>
                    <w:jc w:val="both"/>
                    <w:rPr>
                      <w:rFonts w:hint="default"/>
                      <w:lang w:val="en-US" w:eastAsia="zh-CN"/>
                    </w:rPr>
                  </w:pPr>
                  <w:r>
                    <w:rPr>
                      <w:rFonts w:hint="default"/>
                      <w:lang w:val="en-US" w:eastAsia="zh-CN"/>
                    </w:rPr>
                    <w:t>4.不得新建、改（扩）建产生异味的生物发酵项目。</w:t>
                  </w:r>
                </w:p>
                <w:p w14:paraId="18F282E9">
                  <w:pPr>
                    <w:pStyle w:val="24"/>
                    <w:bidi w:val="0"/>
                    <w:jc w:val="both"/>
                    <w:rPr>
                      <w:rFonts w:hint="default"/>
                      <w:lang w:val="en-US" w:eastAsia="zh-CN"/>
                    </w:rPr>
                  </w:pPr>
                  <w:r>
                    <w:rPr>
                      <w:rFonts w:hint="default"/>
                      <w:lang w:val="en-US" w:eastAsia="zh-CN"/>
                    </w:rPr>
                    <w:t>5.通过产业结构调整，贯彻绿色发展道路，高能耗、高污染企业逐步退出或进行优化</w:t>
                  </w:r>
                </w:p>
                <w:p w14:paraId="1E65D03D">
                  <w:pPr>
                    <w:pStyle w:val="24"/>
                    <w:bidi w:val="0"/>
                    <w:jc w:val="both"/>
                    <w:rPr>
                      <w:rFonts w:hint="default"/>
                      <w:lang w:val="en-US" w:eastAsia="zh-CN"/>
                    </w:rPr>
                  </w:pPr>
                  <w:r>
                    <w:rPr>
                      <w:rFonts w:hint="default"/>
                      <w:lang w:val="en-US" w:eastAsia="zh-CN"/>
                    </w:rPr>
                    <w:t>升级。</w:t>
                  </w:r>
                </w:p>
                <w:p w14:paraId="56497898">
                  <w:pPr>
                    <w:pStyle w:val="24"/>
                    <w:bidi w:val="0"/>
                    <w:jc w:val="both"/>
                    <w:rPr>
                      <w:rFonts w:hint="default"/>
                      <w:lang w:val="en-US" w:eastAsia="zh-CN"/>
                    </w:rPr>
                  </w:pPr>
                  <w:r>
                    <w:rPr>
                      <w:rFonts w:hint="default"/>
                      <w:lang w:val="en-US" w:eastAsia="zh-CN"/>
                    </w:rPr>
                    <w:t>6.园区生产废水要做到有效处理，达标排入管网，或循环利用、不外排；对生活污水经处理达标后排入工业园区污水处理厂。加强金昱元公司污水排放监管力度，确保生产过程中产生的污水集中处理，封堵生产废水排污口，严禁排入园区公网，达到零排放。</w:t>
                  </w:r>
                </w:p>
              </w:tc>
              <w:tc>
                <w:tcPr>
                  <w:tcW w:w="2281" w:type="dxa"/>
                  <w:vAlign w:val="center"/>
                </w:tcPr>
                <w:p w14:paraId="747BDA22">
                  <w:pPr>
                    <w:pStyle w:val="24"/>
                    <w:bidi w:val="0"/>
                    <w:jc w:val="center"/>
                    <w:rPr>
                      <w:rFonts w:hint="eastAsia"/>
                      <w:lang w:val="en-US" w:eastAsia="zh-CN"/>
                    </w:rPr>
                  </w:pPr>
                  <w:r>
                    <w:rPr>
                      <w:rFonts w:hint="eastAsia"/>
                      <w:lang w:val="en-US" w:eastAsia="zh-CN"/>
                    </w:rPr>
                    <w:t>1.本项目属于新建项目，项目符合“三线一清单”要求，项目建设符合产业政策要求，项目对生产过程中产生的VOCs较少，主要为装卸时逸散出的丙烷气体，经排风扇处理后，以无组织形式排放，可以《宁夏回族自治区挥发性有机物污染专项治理工作方案》及本次评价提出污染治理要求。</w:t>
                  </w:r>
                </w:p>
                <w:p w14:paraId="3E53948D">
                  <w:pPr>
                    <w:pStyle w:val="24"/>
                    <w:bidi w:val="0"/>
                    <w:jc w:val="center"/>
                    <w:rPr>
                      <w:rFonts w:hint="eastAsia"/>
                      <w:lang w:val="en-US" w:eastAsia="zh-CN"/>
                    </w:rPr>
                  </w:pPr>
                  <w:r>
                    <w:rPr>
                      <w:rFonts w:hint="eastAsia"/>
                      <w:lang w:val="en-US" w:eastAsia="zh-CN"/>
                    </w:rPr>
                    <w:t>2.本项目供暖由园区供暖管网提供，挤出造粒工序供热使用电加热，项目不涉及燃煤锅炉的建设。</w:t>
                  </w:r>
                </w:p>
                <w:p w14:paraId="4E297591">
                  <w:pPr>
                    <w:pStyle w:val="24"/>
                    <w:bidi w:val="0"/>
                    <w:jc w:val="center"/>
                    <w:rPr>
                      <w:rFonts w:hint="eastAsia"/>
                      <w:lang w:val="en-US" w:eastAsia="zh-CN"/>
                    </w:rPr>
                  </w:pPr>
                  <w:r>
                    <w:rPr>
                      <w:rFonts w:hint="eastAsia"/>
                      <w:lang w:val="en-US" w:eastAsia="zh-CN"/>
                    </w:rPr>
                    <w:t>3.不涉及</w:t>
                  </w:r>
                </w:p>
                <w:p w14:paraId="4626C34B">
                  <w:pPr>
                    <w:pStyle w:val="24"/>
                    <w:bidi w:val="0"/>
                    <w:jc w:val="center"/>
                    <w:rPr>
                      <w:rFonts w:hint="eastAsia"/>
                      <w:lang w:val="en-US" w:eastAsia="zh-CN"/>
                    </w:rPr>
                  </w:pPr>
                  <w:r>
                    <w:rPr>
                      <w:rFonts w:hint="eastAsia"/>
                      <w:lang w:val="en-US" w:eastAsia="zh-CN"/>
                    </w:rPr>
                    <w:t>4.不涉及</w:t>
                  </w:r>
                </w:p>
                <w:p w14:paraId="1CD3D5A4">
                  <w:pPr>
                    <w:pStyle w:val="24"/>
                    <w:bidi w:val="0"/>
                    <w:jc w:val="center"/>
                    <w:rPr>
                      <w:rFonts w:hint="eastAsia"/>
                      <w:lang w:val="en-US" w:eastAsia="zh-CN"/>
                    </w:rPr>
                  </w:pPr>
                  <w:r>
                    <w:rPr>
                      <w:rFonts w:hint="eastAsia"/>
                      <w:lang w:val="en-US" w:eastAsia="zh-CN"/>
                    </w:rPr>
                    <w:t>5.不涉及</w:t>
                  </w:r>
                </w:p>
                <w:p w14:paraId="72B2F958">
                  <w:pPr>
                    <w:pStyle w:val="24"/>
                    <w:bidi w:val="0"/>
                    <w:jc w:val="center"/>
                    <w:rPr>
                      <w:rFonts w:hint="default"/>
                      <w:lang w:val="en-US" w:eastAsia="zh-CN"/>
                    </w:rPr>
                  </w:pPr>
                  <w:r>
                    <w:rPr>
                      <w:rFonts w:hint="eastAsia"/>
                      <w:lang w:val="en-US" w:eastAsia="zh-CN"/>
                    </w:rPr>
                    <w:t>6.本项目主要为生活废水，经化粪池预处理后，排入园区管网。</w:t>
                  </w:r>
                </w:p>
              </w:tc>
            </w:tr>
            <w:tr w14:paraId="2F376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32844397">
                  <w:pPr>
                    <w:pStyle w:val="24"/>
                    <w:bidi w:val="0"/>
                    <w:jc w:val="center"/>
                    <w:rPr>
                      <w:rFonts w:hint="default"/>
                      <w:lang w:val="en-US" w:eastAsia="zh-CN"/>
                    </w:rPr>
                  </w:pPr>
                  <w:r>
                    <w:rPr>
                      <w:rFonts w:hint="default"/>
                      <w:lang w:val="en-US" w:eastAsia="zh-CN"/>
                    </w:rPr>
                    <w:t>环境风险</w:t>
                  </w:r>
                </w:p>
                <w:p w14:paraId="4FB205B2">
                  <w:pPr>
                    <w:pStyle w:val="24"/>
                    <w:bidi w:val="0"/>
                    <w:jc w:val="center"/>
                    <w:rPr>
                      <w:rFonts w:hint="default"/>
                      <w:lang w:val="en-US" w:eastAsia="zh-CN"/>
                    </w:rPr>
                  </w:pPr>
                  <w:r>
                    <w:rPr>
                      <w:rFonts w:hint="default"/>
                      <w:lang w:val="en-US" w:eastAsia="zh-CN"/>
                    </w:rPr>
                    <w:t>防控</w:t>
                  </w:r>
                </w:p>
              </w:tc>
              <w:tc>
                <w:tcPr>
                  <w:tcW w:w="4023" w:type="dxa"/>
                  <w:vAlign w:val="center"/>
                </w:tcPr>
                <w:p w14:paraId="77A07EC8">
                  <w:pPr>
                    <w:pStyle w:val="24"/>
                    <w:bidi w:val="0"/>
                    <w:jc w:val="both"/>
                    <w:rPr>
                      <w:rFonts w:hint="default"/>
                      <w:lang w:val="en-US" w:eastAsia="zh-CN"/>
                    </w:rPr>
                  </w:pPr>
                  <w:r>
                    <w:rPr>
                      <w:rFonts w:hint="default"/>
                      <w:lang w:val="en-US" w:eastAsia="zh-CN"/>
                    </w:rPr>
                    <w:t>1.园区应建立严格的环境风险防控体系。</w:t>
                  </w:r>
                </w:p>
                <w:p w14:paraId="3A11B184">
                  <w:pPr>
                    <w:pStyle w:val="24"/>
                    <w:bidi w:val="0"/>
                    <w:jc w:val="both"/>
                    <w:rPr>
                      <w:rFonts w:hint="default"/>
                      <w:lang w:val="en-US" w:eastAsia="zh-CN"/>
                    </w:rPr>
                  </w:pPr>
                  <w:r>
                    <w:rPr>
                      <w:rFonts w:hint="default"/>
                      <w:lang w:val="en-US" w:eastAsia="zh-CN"/>
                    </w:rPr>
                    <w:t>2.宁夏金昱元广拓能源有限公司（土壤重点监管、涉重金属）应采取措施加强土壤环境监测和土壤污染风险防控。</w:t>
                  </w:r>
                </w:p>
                <w:p w14:paraId="74ABECD4">
                  <w:pPr>
                    <w:pStyle w:val="24"/>
                    <w:bidi w:val="0"/>
                    <w:jc w:val="both"/>
                    <w:rPr>
                      <w:rFonts w:hint="default"/>
                      <w:lang w:val="en-US" w:eastAsia="zh-CN"/>
                    </w:rPr>
                  </w:pPr>
                  <w:r>
                    <w:rPr>
                      <w:rFonts w:hint="default"/>
                      <w:lang w:val="en-US" w:eastAsia="zh-CN"/>
                    </w:rPr>
                    <w:t>3.固原经济开发区康用废弃物综合处理有限公司（医疗废物）在贮存、转移、利用、</w:t>
                  </w:r>
                </w:p>
                <w:p w14:paraId="7B64DC78">
                  <w:pPr>
                    <w:pStyle w:val="24"/>
                    <w:bidi w:val="0"/>
                    <w:jc w:val="both"/>
                    <w:rPr>
                      <w:rFonts w:hint="default"/>
                      <w:lang w:val="en-US" w:eastAsia="zh-CN"/>
                    </w:rPr>
                  </w:pPr>
                  <w:r>
                    <w:rPr>
                      <w:rFonts w:hint="default"/>
                      <w:lang w:val="en-US" w:eastAsia="zh-CN"/>
                    </w:rPr>
                    <w:t>处置危险废物过程中，应严格按照《危险废物规划化管理指标体系》等相关要求，并配套防扬散、防流失、防渗漏及其他防治污染环境的措施。</w:t>
                  </w:r>
                </w:p>
                <w:p w14:paraId="4CF45206">
                  <w:pPr>
                    <w:pStyle w:val="24"/>
                    <w:bidi w:val="0"/>
                    <w:jc w:val="both"/>
                    <w:rPr>
                      <w:rFonts w:hint="default"/>
                      <w:lang w:val="en-US" w:eastAsia="zh-CN"/>
                    </w:rPr>
                  </w:pPr>
                  <w:r>
                    <w:rPr>
                      <w:rFonts w:hint="default"/>
                      <w:lang w:val="en-US" w:eastAsia="zh-CN"/>
                    </w:rPr>
                    <w:t>4.依据《建设项目环境风险评价技术导则》（HJ169-2018），环境风险潜势为极高环境风险（Ⅳ+）且毒性终点浓度-1/（mg/m3）范围有居民区的建设项目禁止引入化工集</w:t>
                  </w:r>
                </w:p>
                <w:p w14:paraId="1DF671FB">
                  <w:pPr>
                    <w:pStyle w:val="24"/>
                    <w:bidi w:val="0"/>
                    <w:jc w:val="both"/>
                    <w:rPr>
                      <w:rFonts w:hint="default"/>
                      <w:lang w:val="en-US" w:eastAsia="zh-CN"/>
                    </w:rPr>
                  </w:pPr>
                  <w:r>
                    <w:rPr>
                      <w:rFonts w:hint="default"/>
                      <w:lang w:val="en-US" w:eastAsia="zh-CN"/>
                    </w:rPr>
                    <w:t>中区。</w:t>
                  </w:r>
                </w:p>
                <w:p w14:paraId="630E230F">
                  <w:pPr>
                    <w:pStyle w:val="24"/>
                    <w:bidi w:val="0"/>
                    <w:jc w:val="both"/>
                    <w:rPr>
                      <w:rFonts w:hint="default"/>
                      <w:lang w:val="en-US" w:eastAsia="zh-CN"/>
                    </w:rPr>
                  </w:pPr>
                  <w:r>
                    <w:rPr>
                      <w:rFonts w:hint="default"/>
                      <w:lang w:val="en-US" w:eastAsia="zh-CN"/>
                    </w:rPr>
                    <w:t>5.园区边界外延 2.5km 范围的环境风险管控范围内禁止新建村庄、学校、医院等人群聚集区。</w:t>
                  </w:r>
                </w:p>
                <w:p w14:paraId="6F128FE5">
                  <w:pPr>
                    <w:pStyle w:val="24"/>
                    <w:bidi w:val="0"/>
                    <w:jc w:val="both"/>
                    <w:rPr>
                      <w:rFonts w:hint="default"/>
                      <w:lang w:val="en-US" w:eastAsia="zh-CN"/>
                    </w:rPr>
                  </w:pPr>
                  <w:r>
                    <w:rPr>
                      <w:rFonts w:hint="default"/>
                      <w:lang w:val="en-US" w:eastAsia="zh-CN"/>
                    </w:rPr>
                    <w:t>6.园区内潜在的安全、环境风险源，应制订《突发安全生产应急预案》、《突发环境事件应急预案》，组织定期演练，预防安全、环境污染事件的发生。</w:t>
                  </w:r>
                </w:p>
              </w:tc>
              <w:tc>
                <w:tcPr>
                  <w:tcW w:w="2281" w:type="dxa"/>
                  <w:vAlign w:val="center"/>
                </w:tcPr>
                <w:p w14:paraId="07ABF02A">
                  <w:pPr>
                    <w:pStyle w:val="24"/>
                    <w:bidi w:val="0"/>
                    <w:jc w:val="center"/>
                    <w:rPr>
                      <w:rFonts w:hint="eastAsia"/>
                      <w:lang w:val="en-US" w:eastAsia="zh-CN"/>
                    </w:rPr>
                  </w:pPr>
                  <w:r>
                    <w:rPr>
                      <w:rFonts w:hint="eastAsia"/>
                      <w:lang w:val="en-US" w:eastAsia="zh-CN"/>
                    </w:rPr>
                    <w:t>1.园区已建立严格的环境风险防控体系。</w:t>
                  </w:r>
                </w:p>
                <w:p w14:paraId="413DA763">
                  <w:pPr>
                    <w:pStyle w:val="24"/>
                    <w:bidi w:val="0"/>
                    <w:jc w:val="center"/>
                    <w:rPr>
                      <w:rFonts w:hint="eastAsia"/>
                      <w:lang w:val="en-US" w:eastAsia="zh-CN"/>
                    </w:rPr>
                  </w:pPr>
                  <w:r>
                    <w:rPr>
                      <w:rFonts w:hint="eastAsia"/>
                      <w:lang w:val="en-US" w:eastAsia="zh-CN"/>
                    </w:rPr>
                    <w:t>2.不涉及</w:t>
                  </w:r>
                </w:p>
                <w:p w14:paraId="3531A86B">
                  <w:pPr>
                    <w:pStyle w:val="24"/>
                    <w:bidi w:val="0"/>
                    <w:jc w:val="center"/>
                    <w:rPr>
                      <w:rFonts w:hint="eastAsia"/>
                      <w:lang w:val="en-US" w:eastAsia="zh-CN"/>
                    </w:rPr>
                  </w:pPr>
                  <w:r>
                    <w:rPr>
                      <w:rFonts w:hint="eastAsia"/>
                      <w:lang w:val="en-US" w:eastAsia="zh-CN"/>
                    </w:rPr>
                    <w:t>3.不涉及</w:t>
                  </w:r>
                </w:p>
                <w:p w14:paraId="370EFCD1">
                  <w:pPr>
                    <w:pStyle w:val="24"/>
                    <w:bidi w:val="0"/>
                    <w:jc w:val="center"/>
                    <w:rPr>
                      <w:rFonts w:hint="default" w:ascii="宋体" w:hAnsi="宋体" w:eastAsia="宋体" w:cs="宋体"/>
                      <w:lang w:val="en-US" w:eastAsia="zh-CN"/>
                    </w:rPr>
                  </w:pPr>
                  <w:r>
                    <w:rPr>
                      <w:rFonts w:hint="eastAsia"/>
                      <w:lang w:val="en-US" w:eastAsia="zh-CN"/>
                    </w:rPr>
                    <w:t>4.本项目风险潜势为</w:t>
                  </w:r>
                  <w:r>
                    <w:rPr>
                      <w:rFonts w:hint="default" w:ascii="Times New Roman" w:hAnsi="Times New Roman" w:cs="Times New Roman"/>
                      <w:lang w:val="en-US" w:eastAsia="zh-CN"/>
                    </w:rPr>
                    <w:t>Ⅱ</w:t>
                  </w:r>
                  <w:r>
                    <w:rPr>
                      <w:rFonts w:hint="eastAsia" w:ascii="Times New Roman" w:hAnsi="Times New Roman" w:cs="Times New Roman"/>
                      <w:lang w:val="en-US" w:eastAsia="zh-CN"/>
                    </w:rPr>
                    <w:t>级。</w:t>
                  </w:r>
                </w:p>
                <w:p w14:paraId="6146CB97">
                  <w:pPr>
                    <w:pStyle w:val="24"/>
                    <w:bidi w:val="0"/>
                    <w:jc w:val="center"/>
                    <w:rPr>
                      <w:rFonts w:hint="eastAsia"/>
                      <w:lang w:val="en-US" w:eastAsia="zh-CN"/>
                    </w:rPr>
                  </w:pPr>
                  <w:r>
                    <w:rPr>
                      <w:rFonts w:hint="eastAsia"/>
                      <w:lang w:val="en-US" w:eastAsia="zh-CN"/>
                    </w:rPr>
                    <w:t>5不涉及</w:t>
                  </w:r>
                </w:p>
                <w:p w14:paraId="3428C22A">
                  <w:pPr>
                    <w:pStyle w:val="24"/>
                    <w:bidi w:val="0"/>
                    <w:jc w:val="center"/>
                    <w:rPr>
                      <w:rFonts w:hint="default"/>
                      <w:lang w:val="en-US" w:eastAsia="zh-CN"/>
                    </w:rPr>
                  </w:pPr>
                  <w:r>
                    <w:rPr>
                      <w:rFonts w:hint="eastAsia"/>
                      <w:lang w:val="en-US" w:eastAsia="zh-CN"/>
                    </w:rPr>
                    <w:t>6.本项目应按要求制订突发环境事件应急预案，并报相关生态环境主管部门备案，并定期组织演练，预防安全、环境污染事件的发生。</w:t>
                  </w:r>
                </w:p>
                <w:p w14:paraId="53D26C0E">
                  <w:pPr>
                    <w:pStyle w:val="24"/>
                    <w:bidi w:val="0"/>
                    <w:jc w:val="center"/>
                    <w:rPr>
                      <w:rFonts w:hint="default"/>
                      <w:lang w:val="en-US" w:eastAsia="zh-CN"/>
                    </w:rPr>
                  </w:pPr>
                </w:p>
              </w:tc>
            </w:tr>
            <w:tr w14:paraId="3610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 w:type="dxa"/>
                  <w:vAlign w:val="center"/>
                </w:tcPr>
                <w:p w14:paraId="7AE91800">
                  <w:pPr>
                    <w:pStyle w:val="24"/>
                    <w:bidi w:val="0"/>
                    <w:jc w:val="center"/>
                    <w:rPr>
                      <w:rFonts w:hint="default"/>
                      <w:lang w:val="en-US" w:eastAsia="zh-CN"/>
                    </w:rPr>
                  </w:pPr>
                  <w:r>
                    <w:rPr>
                      <w:rFonts w:hint="default"/>
                      <w:lang w:val="en-US" w:eastAsia="zh-CN"/>
                    </w:rPr>
                    <w:t>资源开发</w:t>
                  </w:r>
                </w:p>
                <w:p w14:paraId="5B7835AC">
                  <w:pPr>
                    <w:pStyle w:val="24"/>
                    <w:bidi w:val="0"/>
                    <w:jc w:val="center"/>
                    <w:rPr>
                      <w:rFonts w:hint="default"/>
                      <w:lang w:val="en-US" w:eastAsia="zh-CN"/>
                    </w:rPr>
                  </w:pPr>
                  <w:r>
                    <w:rPr>
                      <w:rFonts w:hint="default"/>
                      <w:lang w:val="en-US" w:eastAsia="zh-CN"/>
                    </w:rPr>
                    <w:t>效率</w:t>
                  </w:r>
                </w:p>
              </w:tc>
              <w:tc>
                <w:tcPr>
                  <w:tcW w:w="4023" w:type="dxa"/>
                  <w:vAlign w:val="center"/>
                </w:tcPr>
                <w:p w14:paraId="70FBBEDE">
                  <w:pPr>
                    <w:pStyle w:val="24"/>
                    <w:bidi w:val="0"/>
                    <w:jc w:val="both"/>
                    <w:rPr>
                      <w:rFonts w:hint="default"/>
                      <w:lang w:val="en-US" w:eastAsia="zh-CN"/>
                    </w:rPr>
                  </w:pPr>
                  <w:r>
                    <w:rPr>
                      <w:rFonts w:hint="default"/>
                      <w:lang w:val="en-US" w:eastAsia="zh-CN"/>
                    </w:rPr>
                    <w:t>1.不得引入不符合能耗、水耗等有关要求的项目，引进项目的生产工艺、设备，以及单位产品能耗、物耗、水耗等资源利用指标均需达到同行业国内先进水平。</w:t>
                  </w:r>
                </w:p>
                <w:p w14:paraId="17FFB11D">
                  <w:pPr>
                    <w:pStyle w:val="24"/>
                    <w:bidi w:val="0"/>
                    <w:jc w:val="both"/>
                    <w:rPr>
                      <w:rFonts w:hint="default"/>
                      <w:lang w:val="en-US" w:eastAsia="zh-CN"/>
                    </w:rPr>
                  </w:pPr>
                  <w:r>
                    <w:rPr>
                      <w:rFonts w:hint="default"/>
                      <w:lang w:val="en-US" w:eastAsia="zh-CN"/>
                    </w:rPr>
                    <w:t>2.新建耗煤项目应严格按规定采取煤炭消费减量替代措施，不得使用高污染燃料作为煤炭减量替代措施。</w:t>
                  </w:r>
                </w:p>
                <w:p w14:paraId="5C6367FF">
                  <w:pPr>
                    <w:pStyle w:val="24"/>
                    <w:bidi w:val="0"/>
                    <w:jc w:val="both"/>
                    <w:rPr>
                      <w:rFonts w:hint="default"/>
                      <w:lang w:val="en-US" w:eastAsia="zh-CN"/>
                    </w:rPr>
                  </w:pPr>
                  <w:r>
                    <w:rPr>
                      <w:rFonts w:hint="default"/>
                      <w:lang w:val="en-US" w:eastAsia="zh-CN"/>
                    </w:rPr>
                    <w:t>3.企业固体废物、危险废物处理处置率达到 100%。到 2025 年，工业固体废弃物综合利用率达到 80%。</w:t>
                  </w:r>
                </w:p>
                <w:p w14:paraId="55B60C0A">
                  <w:pPr>
                    <w:pStyle w:val="24"/>
                    <w:bidi w:val="0"/>
                    <w:jc w:val="both"/>
                    <w:rPr>
                      <w:rFonts w:hint="default"/>
                      <w:lang w:val="en-US" w:eastAsia="zh-CN"/>
                    </w:rPr>
                  </w:pPr>
                  <w:r>
                    <w:rPr>
                      <w:rFonts w:hint="default"/>
                      <w:lang w:val="en-US" w:eastAsia="zh-CN"/>
                    </w:rPr>
                    <w:t>4.列入《宁夏回族自治区能耗双控产业结构调整指导目录（实行）》中禁止类的项目不允许新增固定资产投资；列入限制类项目需满足目录中规定的产能置换、规模条件、能耗替代、单位产品能源消耗水平、工艺和装备水平等要求；列入淘汰类的按照目录规定时限，限期淘汰落后的生产工艺装备和落后产品。</w:t>
                  </w:r>
                </w:p>
              </w:tc>
              <w:tc>
                <w:tcPr>
                  <w:tcW w:w="2281" w:type="dxa"/>
                  <w:vAlign w:val="center"/>
                </w:tcPr>
                <w:p w14:paraId="41DB7D5E">
                  <w:pPr>
                    <w:pStyle w:val="24"/>
                    <w:bidi w:val="0"/>
                    <w:jc w:val="center"/>
                    <w:rPr>
                      <w:rFonts w:hint="eastAsia"/>
                      <w:lang w:val="en-US" w:eastAsia="zh-CN"/>
                    </w:rPr>
                  </w:pPr>
                  <w:r>
                    <w:rPr>
                      <w:rFonts w:hint="eastAsia"/>
                      <w:lang w:val="en-US" w:eastAsia="zh-CN"/>
                    </w:rPr>
                    <w:t>1.本项目能耗、水耗符合行业要求。项目的生产工艺、设备，以及单位产品能耗、物耗、水耗等资源利用指标均达到同行业国内先进水平。</w:t>
                  </w:r>
                </w:p>
                <w:p w14:paraId="64DFE4CE">
                  <w:pPr>
                    <w:pStyle w:val="24"/>
                    <w:bidi w:val="0"/>
                    <w:jc w:val="center"/>
                    <w:rPr>
                      <w:rFonts w:hint="eastAsia"/>
                      <w:lang w:val="en-US" w:eastAsia="zh-CN"/>
                    </w:rPr>
                  </w:pPr>
                  <w:r>
                    <w:rPr>
                      <w:rFonts w:hint="eastAsia"/>
                      <w:lang w:val="en-US" w:eastAsia="zh-CN"/>
                    </w:rPr>
                    <w:t>2.不涉及</w:t>
                  </w:r>
                </w:p>
                <w:p w14:paraId="26865A7B">
                  <w:pPr>
                    <w:pStyle w:val="24"/>
                    <w:bidi w:val="0"/>
                    <w:jc w:val="center"/>
                    <w:rPr>
                      <w:rFonts w:hint="eastAsia"/>
                      <w:lang w:val="en-US" w:eastAsia="zh-CN"/>
                    </w:rPr>
                  </w:pPr>
                  <w:r>
                    <w:rPr>
                      <w:rFonts w:hint="eastAsia"/>
                      <w:lang w:val="en-US" w:eastAsia="zh-CN"/>
                    </w:rPr>
                    <w:t>3.本项目产生的固废主要为。。废钢瓶集中收集后，定期市级或市级以上质监部门指定的气瓶检验机构报废销毁；生活垃圾经垃圾分类设施收集后交由园区环卫部门统一处置，废机油由有资质的单位回收处理。处置率达到100%。</w:t>
                  </w:r>
                </w:p>
                <w:p w14:paraId="09F47BC2">
                  <w:pPr>
                    <w:pStyle w:val="24"/>
                    <w:bidi w:val="0"/>
                    <w:jc w:val="center"/>
                    <w:rPr>
                      <w:rFonts w:hint="default"/>
                      <w:lang w:val="en-US" w:eastAsia="zh-CN"/>
                    </w:rPr>
                  </w:pPr>
                  <w:r>
                    <w:rPr>
                      <w:rFonts w:hint="eastAsia"/>
                      <w:lang w:val="en-US" w:eastAsia="zh-CN"/>
                    </w:rPr>
                    <w:t>4.不涉及。</w:t>
                  </w:r>
                </w:p>
              </w:tc>
            </w:tr>
          </w:tbl>
          <w:p w14:paraId="0559A6C3">
            <w:pPr>
              <w:pStyle w:val="23"/>
              <w:bidi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根据上表分析，本项目符合《宁夏固原经济开发区“一区三园”总体规划修编（2022-2035年）环境影响报告书》生态环境准入清单中的相关要求。</w:t>
            </w:r>
          </w:p>
          <w:p w14:paraId="6B394351">
            <w:pPr>
              <w:pStyle w:val="23"/>
              <w:bidi w:val="0"/>
              <w:rPr>
                <w:rFonts w:hint="default" w:ascii="Times New Roman" w:hAnsi="Times New Roman" w:eastAsia="宋体" w:cs="Times New Roman"/>
                <w:color w:val="auto"/>
                <w:kern w:val="0"/>
                <w:szCs w:val="21"/>
                <w:lang w:val="en-US" w:eastAsia="zh-CN"/>
              </w:rPr>
            </w:pPr>
            <w:r>
              <w:rPr>
                <w:rFonts w:hint="eastAsia" w:cs="Times New Roman"/>
                <w:b/>
                <w:bCs/>
                <w:color w:val="auto"/>
                <w:kern w:val="0"/>
                <w:szCs w:val="21"/>
                <w:lang w:val="en-US" w:eastAsia="zh-CN"/>
              </w:rPr>
              <w:t>2.与自治区生态环境厅关于《宁夏固原经济开发区“一区三园”总体规划修编（2022-2035年）环境影响报告书》审查意见的函（宁环函〔2023〕455号）符合性分析</w:t>
            </w:r>
          </w:p>
          <w:p w14:paraId="7600E370">
            <w:pPr>
              <w:pStyle w:val="23"/>
              <w:bidi w:val="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根据自治区生态环境厅关于《宁夏固原经济开发区“一区三园”总体规划修编（2022-2035年）环境影响报告书》审查意见的函（宁环函〔2023〕455号），具体符合性分析见下表1-2。</w:t>
            </w:r>
          </w:p>
          <w:p w14:paraId="334D8F1C">
            <w:pPr>
              <w:adjustRightInd w:val="0"/>
              <w:snapToGrid w:val="0"/>
              <w:ind w:firstLine="315" w:firstLineChars="150"/>
              <w:rPr>
                <w:b/>
                <w:bCs/>
                <w:color w:val="auto"/>
                <w:sz w:val="24"/>
                <w:szCs w:val="24"/>
              </w:rPr>
            </w:pPr>
            <w:r>
              <w:rPr>
                <w:bCs/>
                <w:color w:val="auto"/>
                <w:sz w:val="21"/>
                <w:szCs w:val="21"/>
              </w:rPr>
              <w:t xml:space="preserve">表1-2    </w:t>
            </w:r>
            <w:r>
              <w:rPr>
                <w:rFonts w:hint="eastAsia"/>
                <w:bCs/>
                <w:color w:val="auto"/>
                <w:sz w:val="21"/>
                <w:szCs w:val="21"/>
              </w:rPr>
              <w:t xml:space="preserve">  </w:t>
            </w:r>
            <w:r>
              <w:rPr>
                <w:bCs/>
                <w:color w:val="auto"/>
                <w:sz w:val="21"/>
                <w:szCs w:val="21"/>
              </w:rPr>
              <w:t xml:space="preserve">  </w:t>
            </w:r>
            <w:r>
              <w:rPr>
                <w:bCs/>
                <w:color w:val="auto"/>
                <w:sz w:val="24"/>
                <w:szCs w:val="24"/>
              </w:rPr>
              <w:t xml:space="preserve"> </w:t>
            </w:r>
            <w:r>
              <w:rPr>
                <w:b/>
                <w:bCs/>
                <w:color w:val="auto"/>
                <w:sz w:val="24"/>
                <w:szCs w:val="24"/>
              </w:rPr>
              <w:t>与宁环函</w:t>
            </w:r>
            <w:r>
              <w:rPr>
                <w:b/>
                <w:color w:val="auto"/>
                <w:kern w:val="0"/>
                <w:sz w:val="24"/>
                <w:szCs w:val="24"/>
              </w:rPr>
              <w:t>〔</w:t>
            </w:r>
            <w:r>
              <w:rPr>
                <w:rFonts w:hint="eastAsia"/>
                <w:b/>
                <w:color w:val="auto"/>
                <w:kern w:val="0"/>
                <w:sz w:val="24"/>
                <w:szCs w:val="24"/>
              </w:rPr>
              <w:t>2023</w:t>
            </w:r>
            <w:r>
              <w:rPr>
                <w:b/>
                <w:color w:val="auto"/>
                <w:kern w:val="0"/>
                <w:sz w:val="24"/>
                <w:szCs w:val="24"/>
              </w:rPr>
              <w:t>〕</w:t>
            </w:r>
            <w:r>
              <w:rPr>
                <w:rFonts w:hint="eastAsia"/>
                <w:b/>
                <w:bCs/>
                <w:color w:val="auto"/>
                <w:sz w:val="24"/>
                <w:szCs w:val="24"/>
              </w:rPr>
              <w:t>455</w:t>
            </w:r>
            <w:r>
              <w:rPr>
                <w:b/>
                <w:bCs/>
                <w:color w:val="auto"/>
                <w:sz w:val="24"/>
                <w:szCs w:val="24"/>
              </w:rPr>
              <w:t>号文符合性分析一览表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534"/>
              <w:gridCol w:w="3025"/>
              <w:gridCol w:w="572"/>
            </w:tblGrid>
            <w:tr w14:paraId="62990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6064C42E">
                  <w:pPr>
                    <w:adjustRightInd w:val="0"/>
                    <w:snapToGrid w:val="0"/>
                    <w:jc w:val="center"/>
                    <w:rPr>
                      <w:b/>
                      <w:color w:val="auto"/>
                      <w:sz w:val="21"/>
                      <w:szCs w:val="21"/>
                    </w:rPr>
                  </w:pPr>
                  <w:r>
                    <w:rPr>
                      <w:b/>
                      <w:color w:val="auto"/>
                      <w:sz w:val="21"/>
                      <w:szCs w:val="21"/>
                    </w:rPr>
                    <w:t>《规划》优化调整和实施的意见</w:t>
                  </w:r>
                </w:p>
              </w:tc>
              <w:tc>
                <w:tcPr>
                  <w:tcW w:w="2120" w:type="pct"/>
                  <w:noWrap w:val="0"/>
                  <w:vAlign w:val="center"/>
                </w:tcPr>
                <w:p w14:paraId="4726118C">
                  <w:pPr>
                    <w:adjustRightInd w:val="0"/>
                    <w:snapToGrid w:val="0"/>
                    <w:jc w:val="center"/>
                    <w:rPr>
                      <w:b/>
                      <w:color w:val="auto"/>
                      <w:sz w:val="21"/>
                      <w:szCs w:val="21"/>
                    </w:rPr>
                  </w:pPr>
                  <w:r>
                    <w:rPr>
                      <w:b/>
                      <w:color w:val="auto"/>
                      <w:sz w:val="21"/>
                      <w:szCs w:val="21"/>
                    </w:rPr>
                    <w:t>本项目</w:t>
                  </w:r>
                </w:p>
              </w:tc>
              <w:tc>
                <w:tcPr>
                  <w:tcW w:w="401" w:type="pct"/>
                  <w:noWrap w:val="0"/>
                  <w:vAlign w:val="center"/>
                </w:tcPr>
                <w:p w14:paraId="14565632">
                  <w:pPr>
                    <w:adjustRightInd w:val="0"/>
                    <w:snapToGrid w:val="0"/>
                    <w:jc w:val="center"/>
                    <w:rPr>
                      <w:b/>
                      <w:color w:val="auto"/>
                      <w:sz w:val="21"/>
                      <w:szCs w:val="21"/>
                    </w:rPr>
                  </w:pPr>
                  <w:r>
                    <w:rPr>
                      <w:b/>
                      <w:color w:val="auto"/>
                      <w:sz w:val="21"/>
                      <w:szCs w:val="21"/>
                    </w:rPr>
                    <w:t>结论</w:t>
                  </w:r>
                </w:p>
              </w:tc>
            </w:tr>
            <w:tr w14:paraId="138AB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1678CF22">
                  <w:pPr>
                    <w:adjustRightInd w:val="0"/>
                    <w:snapToGrid w:val="0"/>
                    <w:jc w:val="center"/>
                    <w:rPr>
                      <w:rFonts w:hint="eastAsia"/>
                      <w:b/>
                      <w:color w:val="auto"/>
                      <w:kern w:val="0"/>
                      <w:sz w:val="21"/>
                      <w:szCs w:val="21"/>
                    </w:rPr>
                  </w:pPr>
                  <w:r>
                    <w:rPr>
                      <w:b/>
                      <w:color w:val="auto"/>
                      <w:kern w:val="0"/>
                      <w:sz w:val="21"/>
                      <w:szCs w:val="21"/>
                    </w:rPr>
                    <w:t>㈠</w:t>
                  </w:r>
                  <w:r>
                    <w:rPr>
                      <w:rFonts w:hint="eastAsia"/>
                      <w:b/>
                      <w:color w:val="auto"/>
                      <w:kern w:val="0"/>
                      <w:sz w:val="21"/>
                      <w:szCs w:val="21"/>
                    </w:rPr>
                    <w:t>加强《规划》衔接</w:t>
                  </w:r>
                </w:p>
                <w:p w14:paraId="63741231">
                  <w:pPr>
                    <w:adjustRightInd w:val="0"/>
                    <w:snapToGrid w:val="0"/>
                    <w:jc w:val="center"/>
                    <w:rPr>
                      <w:rFonts w:hint="eastAsia"/>
                      <w:color w:val="auto"/>
                      <w:kern w:val="0"/>
                      <w:sz w:val="21"/>
                      <w:szCs w:val="21"/>
                    </w:rPr>
                  </w:pPr>
                  <w:r>
                    <w:rPr>
                      <w:color w:val="auto"/>
                      <w:sz w:val="21"/>
                      <w:szCs w:val="21"/>
                    </w:rPr>
                    <w:t>坚持绿色发展和协调发展理念，加强与国土空间规划、“三线一单”生态环境分区管控要求、环境保护规划和发展规划等的协调与衔接，加强规划用地性质和产业定位的协调，进一步优化《规划》的发展定位、功能布局、发展规模、产业结构等，实现园区产业发展与生态环境保护、人居环境安全相协调</w:t>
                  </w:r>
                  <w:r>
                    <w:rPr>
                      <w:rFonts w:hint="eastAsia"/>
                      <w:color w:val="auto"/>
                      <w:kern w:val="0"/>
                      <w:sz w:val="21"/>
                      <w:szCs w:val="21"/>
                    </w:rPr>
                    <w:t>。</w:t>
                  </w:r>
                </w:p>
              </w:tc>
              <w:tc>
                <w:tcPr>
                  <w:tcW w:w="2120" w:type="pct"/>
                  <w:noWrap w:val="0"/>
                  <w:vAlign w:val="center"/>
                </w:tcPr>
                <w:p w14:paraId="36578241">
                  <w:pPr>
                    <w:adjustRightInd w:val="0"/>
                    <w:snapToGrid w:val="0"/>
                    <w:jc w:val="center"/>
                    <w:rPr>
                      <w:rFonts w:hint="eastAsia"/>
                      <w:color w:val="auto"/>
                      <w:sz w:val="21"/>
                      <w:szCs w:val="21"/>
                    </w:rPr>
                  </w:pPr>
                  <w:r>
                    <w:rPr>
                      <w:color w:val="auto"/>
                      <w:sz w:val="21"/>
                      <w:szCs w:val="21"/>
                    </w:rPr>
                    <w:t>本项目位于</w:t>
                  </w:r>
                  <w:r>
                    <w:rPr>
                      <w:rFonts w:hint="eastAsia"/>
                      <w:color w:val="auto"/>
                      <w:sz w:val="21"/>
                      <w:szCs w:val="21"/>
                    </w:rPr>
                    <w:t>宁夏固原经济开发区</w:t>
                  </w:r>
                  <w:r>
                    <w:rPr>
                      <w:rFonts w:hint="eastAsia"/>
                      <w:color w:val="auto"/>
                      <w:sz w:val="21"/>
                      <w:szCs w:val="21"/>
                      <w:lang w:val="en-US" w:eastAsia="zh-CN"/>
                    </w:rPr>
                    <w:t>新材料产业园区，产业主要为气体充装项目</w:t>
                  </w:r>
                  <w:r>
                    <w:rPr>
                      <w:color w:val="auto"/>
                      <w:sz w:val="21"/>
                      <w:szCs w:val="21"/>
                    </w:rPr>
                    <w:t>，</w:t>
                  </w:r>
                  <w:r>
                    <w:rPr>
                      <w:rFonts w:hint="eastAsia"/>
                      <w:color w:val="auto"/>
                      <w:sz w:val="21"/>
                      <w:szCs w:val="21"/>
                    </w:rPr>
                    <w:t>项目符合“</w:t>
                  </w:r>
                  <w:r>
                    <w:rPr>
                      <w:color w:val="auto"/>
                      <w:sz w:val="21"/>
                      <w:szCs w:val="21"/>
                    </w:rPr>
                    <w:t>三线一单</w:t>
                  </w:r>
                  <w:r>
                    <w:rPr>
                      <w:rFonts w:hint="eastAsia"/>
                      <w:color w:val="auto"/>
                      <w:sz w:val="21"/>
                      <w:szCs w:val="21"/>
                    </w:rPr>
                    <w:t>”</w:t>
                  </w:r>
                  <w:r>
                    <w:rPr>
                      <w:color w:val="auto"/>
                      <w:sz w:val="21"/>
                      <w:szCs w:val="21"/>
                    </w:rPr>
                    <w:t>生态环境分区管控要求</w:t>
                  </w:r>
                  <w:r>
                    <w:rPr>
                      <w:rFonts w:hint="eastAsia"/>
                      <w:color w:val="auto"/>
                      <w:sz w:val="21"/>
                      <w:szCs w:val="21"/>
                    </w:rPr>
                    <w:t>和环境保护规划</w:t>
                  </w:r>
                  <w:r>
                    <w:rPr>
                      <w:color w:val="auto"/>
                      <w:sz w:val="21"/>
                      <w:szCs w:val="21"/>
                    </w:rPr>
                    <w:t>。</w:t>
                  </w:r>
                </w:p>
              </w:tc>
              <w:tc>
                <w:tcPr>
                  <w:tcW w:w="401" w:type="pct"/>
                  <w:noWrap w:val="0"/>
                  <w:vAlign w:val="center"/>
                </w:tcPr>
                <w:p w14:paraId="5137EDB5">
                  <w:pPr>
                    <w:adjustRightInd w:val="0"/>
                    <w:snapToGrid w:val="0"/>
                    <w:jc w:val="center"/>
                    <w:rPr>
                      <w:color w:val="auto"/>
                      <w:sz w:val="21"/>
                      <w:szCs w:val="21"/>
                    </w:rPr>
                  </w:pPr>
                  <w:r>
                    <w:rPr>
                      <w:color w:val="auto"/>
                      <w:sz w:val="21"/>
                      <w:szCs w:val="21"/>
                    </w:rPr>
                    <w:t>符合</w:t>
                  </w:r>
                </w:p>
              </w:tc>
            </w:tr>
            <w:tr w14:paraId="48B15A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4082F652">
                  <w:pPr>
                    <w:adjustRightInd w:val="0"/>
                    <w:snapToGrid w:val="0"/>
                    <w:jc w:val="center"/>
                    <w:rPr>
                      <w:rFonts w:hint="eastAsia"/>
                      <w:color w:val="auto"/>
                      <w:kern w:val="0"/>
                      <w:sz w:val="21"/>
                      <w:szCs w:val="21"/>
                    </w:rPr>
                  </w:pPr>
                  <w:r>
                    <w:rPr>
                      <w:b/>
                      <w:color w:val="auto"/>
                      <w:kern w:val="0"/>
                      <w:sz w:val="21"/>
                      <w:szCs w:val="21"/>
                    </w:rPr>
                    <w:t>㈡</w:t>
                  </w:r>
                  <w:r>
                    <w:rPr>
                      <w:rFonts w:hint="eastAsia"/>
                      <w:b/>
                      <w:color w:val="auto"/>
                      <w:kern w:val="0"/>
                      <w:sz w:val="21"/>
                      <w:szCs w:val="21"/>
                    </w:rPr>
                    <w:t>推动绿色低碳发展</w:t>
                  </w:r>
                </w:p>
                <w:p w14:paraId="5BDC1E3E">
                  <w:pPr>
                    <w:adjustRightInd w:val="0"/>
                    <w:snapToGrid w:val="0"/>
                    <w:jc w:val="center"/>
                    <w:rPr>
                      <w:rFonts w:hint="eastAsia"/>
                      <w:color w:val="auto"/>
                      <w:kern w:val="0"/>
                      <w:sz w:val="21"/>
                      <w:szCs w:val="21"/>
                    </w:rPr>
                  </w:pPr>
                  <w:r>
                    <w:rPr>
                      <w:color w:val="auto"/>
                      <w:sz w:val="21"/>
                      <w:szCs w:val="21"/>
                    </w:rPr>
                    <w:t>根据国家和自治区碳达峰行动方案、</w:t>
                  </w:r>
                  <w:r>
                    <w:rPr>
                      <w:rFonts w:hint="eastAsia"/>
                      <w:color w:val="auto"/>
                      <w:sz w:val="21"/>
                      <w:szCs w:val="21"/>
                    </w:rPr>
                    <w:t>“</w:t>
                  </w:r>
                  <w:r>
                    <w:rPr>
                      <w:color w:val="auto"/>
                      <w:sz w:val="21"/>
                      <w:szCs w:val="21"/>
                    </w:rPr>
                    <w:t>十四五</w:t>
                  </w:r>
                  <w:r>
                    <w:rPr>
                      <w:rFonts w:hint="eastAsia"/>
                      <w:color w:val="auto"/>
                      <w:sz w:val="21"/>
                      <w:szCs w:val="21"/>
                    </w:rPr>
                    <w:t>”</w:t>
                  </w:r>
                  <w:r>
                    <w:rPr>
                      <w:color w:val="auto"/>
                      <w:sz w:val="21"/>
                      <w:szCs w:val="21"/>
                    </w:rPr>
                    <w:t>应对气候变化专项规划和节能减排工作要求，进一步优化《规划》产业、能源、交通运输、土地利用等内容，推进园区绿色低碳转型发展。</w:t>
                  </w:r>
                </w:p>
              </w:tc>
              <w:tc>
                <w:tcPr>
                  <w:tcW w:w="2120" w:type="pct"/>
                  <w:noWrap w:val="0"/>
                  <w:vAlign w:val="center"/>
                </w:tcPr>
                <w:p w14:paraId="7CA375F9">
                  <w:pPr>
                    <w:adjustRightInd w:val="0"/>
                    <w:snapToGrid w:val="0"/>
                    <w:jc w:val="center"/>
                    <w:rPr>
                      <w:rFonts w:hint="default" w:eastAsia="宋体"/>
                      <w:color w:val="auto"/>
                      <w:sz w:val="21"/>
                      <w:szCs w:val="21"/>
                      <w:lang w:val="en-US" w:eastAsia="zh-CN"/>
                    </w:rPr>
                  </w:pPr>
                  <w:r>
                    <w:rPr>
                      <w:rFonts w:hint="eastAsia"/>
                      <w:color w:val="auto"/>
                      <w:sz w:val="21"/>
                      <w:szCs w:val="21"/>
                    </w:rPr>
                    <w:t>本项目能耗较低</w:t>
                  </w:r>
                  <w:r>
                    <w:rPr>
                      <w:rFonts w:hint="eastAsia"/>
                      <w:color w:val="auto"/>
                      <w:sz w:val="21"/>
                      <w:szCs w:val="21"/>
                      <w:lang w:eastAsia="zh-CN"/>
                    </w:rPr>
                    <w:t>。</w:t>
                  </w:r>
                  <w:r>
                    <w:rPr>
                      <w:rFonts w:hint="eastAsia"/>
                      <w:color w:val="auto"/>
                      <w:sz w:val="21"/>
                      <w:szCs w:val="21"/>
                      <w:lang w:val="en-US" w:eastAsia="zh-CN"/>
                    </w:rPr>
                    <w:t>主要为装卸储罐时装卸设备使用的电能及员工的生活用水。</w:t>
                  </w:r>
                </w:p>
              </w:tc>
              <w:tc>
                <w:tcPr>
                  <w:tcW w:w="401" w:type="pct"/>
                  <w:noWrap w:val="0"/>
                  <w:vAlign w:val="center"/>
                </w:tcPr>
                <w:p w14:paraId="614372CA">
                  <w:pPr>
                    <w:adjustRightInd w:val="0"/>
                    <w:snapToGrid w:val="0"/>
                    <w:jc w:val="center"/>
                    <w:rPr>
                      <w:color w:val="auto"/>
                      <w:sz w:val="21"/>
                      <w:szCs w:val="21"/>
                    </w:rPr>
                  </w:pPr>
                  <w:r>
                    <w:rPr>
                      <w:color w:val="auto"/>
                      <w:sz w:val="21"/>
                      <w:szCs w:val="21"/>
                    </w:rPr>
                    <w:t>符合</w:t>
                  </w:r>
                </w:p>
              </w:tc>
            </w:tr>
            <w:tr w14:paraId="2E58F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34061EAC">
                  <w:pPr>
                    <w:widowControl/>
                    <w:tabs>
                      <w:tab w:val="left" w:pos="3948"/>
                    </w:tabs>
                    <w:adjustRightInd w:val="0"/>
                    <w:snapToGrid w:val="0"/>
                    <w:jc w:val="center"/>
                    <w:rPr>
                      <w:rFonts w:hint="eastAsia"/>
                      <w:b/>
                      <w:color w:val="auto"/>
                      <w:kern w:val="0"/>
                      <w:sz w:val="21"/>
                      <w:szCs w:val="21"/>
                    </w:rPr>
                  </w:pPr>
                  <w:r>
                    <w:rPr>
                      <w:b/>
                      <w:color w:val="auto"/>
                      <w:kern w:val="0"/>
                      <w:sz w:val="21"/>
                      <w:szCs w:val="21"/>
                    </w:rPr>
                    <w:t>㈢</w:t>
                  </w:r>
                  <w:r>
                    <w:rPr>
                      <w:rFonts w:hint="eastAsia"/>
                      <w:b/>
                      <w:color w:val="auto"/>
                      <w:kern w:val="0"/>
                      <w:sz w:val="21"/>
                      <w:szCs w:val="21"/>
                    </w:rPr>
                    <w:t>加强空间管控</w:t>
                  </w:r>
                </w:p>
                <w:p w14:paraId="71CAE094">
                  <w:pPr>
                    <w:widowControl/>
                    <w:tabs>
                      <w:tab w:val="left" w:pos="3948"/>
                    </w:tabs>
                    <w:adjustRightInd w:val="0"/>
                    <w:snapToGrid w:val="0"/>
                    <w:jc w:val="center"/>
                    <w:rPr>
                      <w:rFonts w:hint="eastAsia"/>
                      <w:color w:val="auto"/>
                      <w:kern w:val="0"/>
                      <w:sz w:val="21"/>
                      <w:szCs w:val="21"/>
                    </w:rPr>
                  </w:pPr>
                  <w:r>
                    <w:rPr>
                      <w:color w:val="auto"/>
                      <w:sz w:val="21"/>
                      <w:szCs w:val="21"/>
                    </w:rPr>
                    <w:t>落实生态保护、城镇开发等空间管控边界，加强对各片区周边集中居住区防护，严守生态保护红线，重点加强对调入区涉及的一般生态空间管控。</w:t>
                  </w:r>
                </w:p>
              </w:tc>
              <w:tc>
                <w:tcPr>
                  <w:tcW w:w="2120" w:type="pct"/>
                  <w:noWrap w:val="0"/>
                  <w:vAlign w:val="center"/>
                </w:tcPr>
                <w:p w14:paraId="1D48EC3D">
                  <w:pPr>
                    <w:adjustRightInd w:val="0"/>
                    <w:snapToGrid w:val="0"/>
                    <w:jc w:val="center"/>
                    <w:rPr>
                      <w:rFonts w:hint="eastAsia"/>
                      <w:color w:val="auto"/>
                      <w:sz w:val="21"/>
                      <w:szCs w:val="21"/>
                    </w:rPr>
                  </w:pPr>
                  <w:r>
                    <w:rPr>
                      <w:rFonts w:hint="eastAsia"/>
                      <w:color w:val="auto"/>
                      <w:sz w:val="21"/>
                      <w:szCs w:val="21"/>
                    </w:rPr>
                    <w:t>本项目位于宁夏固原经济开发区</w:t>
                  </w:r>
                  <w:r>
                    <w:rPr>
                      <w:rFonts w:hint="eastAsia"/>
                      <w:color w:val="auto"/>
                      <w:sz w:val="21"/>
                      <w:szCs w:val="21"/>
                      <w:lang w:val="en-US" w:eastAsia="zh-CN"/>
                    </w:rPr>
                    <w:t>新材料产业园</w:t>
                  </w:r>
                  <w:r>
                    <w:rPr>
                      <w:rFonts w:hint="eastAsia"/>
                      <w:color w:val="auto"/>
                      <w:sz w:val="21"/>
                      <w:szCs w:val="21"/>
                    </w:rPr>
                    <w:t>，符合生态保护、</w:t>
                  </w:r>
                  <w:r>
                    <w:rPr>
                      <w:color w:val="auto"/>
                      <w:sz w:val="21"/>
                      <w:szCs w:val="21"/>
                    </w:rPr>
                    <w:t>城镇开发等空间管控</w:t>
                  </w:r>
                  <w:r>
                    <w:rPr>
                      <w:rFonts w:hint="eastAsia"/>
                      <w:color w:val="auto"/>
                      <w:sz w:val="21"/>
                      <w:szCs w:val="21"/>
                    </w:rPr>
                    <w:t>要求和周围集中居住区防护距离符合要求。</w:t>
                  </w:r>
                </w:p>
              </w:tc>
              <w:tc>
                <w:tcPr>
                  <w:tcW w:w="401" w:type="pct"/>
                  <w:noWrap w:val="0"/>
                  <w:vAlign w:val="center"/>
                </w:tcPr>
                <w:p w14:paraId="73F6376D">
                  <w:pPr>
                    <w:adjustRightInd w:val="0"/>
                    <w:snapToGrid w:val="0"/>
                    <w:jc w:val="center"/>
                    <w:rPr>
                      <w:color w:val="auto"/>
                      <w:sz w:val="21"/>
                      <w:szCs w:val="21"/>
                    </w:rPr>
                  </w:pPr>
                  <w:r>
                    <w:rPr>
                      <w:color w:val="auto"/>
                      <w:sz w:val="21"/>
                      <w:szCs w:val="21"/>
                    </w:rPr>
                    <w:t>符合</w:t>
                  </w:r>
                </w:p>
              </w:tc>
            </w:tr>
            <w:tr w14:paraId="3ADD25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12741CEA">
                  <w:pPr>
                    <w:adjustRightInd w:val="0"/>
                    <w:snapToGrid w:val="0"/>
                    <w:jc w:val="center"/>
                    <w:rPr>
                      <w:rFonts w:hint="eastAsia"/>
                      <w:b/>
                      <w:color w:val="auto"/>
                      <w:sz w:val="21"/>
                      <w:szCs w:val="21"/>
                    </w:rPr>
                  </w:pPr>
                  <w:r>
                    <w:rPr>
                      <w:b/>
                      <w:color w:val="auto"/>
                      <w:sz w:val="21"/>
                      <w:szCs w:val="21"/>
                    </w:rPr>
                    <w:t>㈣</w:t>
                  </w:r>
                  <w:r>
                    <w:rPr>
                      <w:rFonts w:hint="eastAsia"/>
                      <w:b/>
                      <w:color w:val="auto"/>
                      <w:sz w:val="21"/>
                      <w:szCs w:val="21"/>
                    </w:rPr>
                    <w:t>强化污染物排放总量控制</w:t>
                  </w:r>
                </w:p>
                <w:p w14:paraId="4629B992">
                  <w:pPr>
                    <w:adjustRightInd w:val="0"/>
                    <w:snapToGrid w:val="0"/>
                    <w:jc w:val="center"/>
                    <w:rPr>
                      <w:rFonts w:hint="eastAsia"/>
                      <w:color w:val="auto"/>
                      <w:kern w:val="0"/>
                      <w:sz w:val="21"/>
                      <w:szCs w:val="21"/>
                    </w:rPr>
                  </w:pPr>
                  <w:r>
                    <w:rPr>
                      <w:color w:val="auto"/>
                      <w:sz w:val="21"/>
                      <w:szCs w:val="21"/>
                    </w:rPr>
                    <w:t>严守环境质量底线，根据国家和自治区关于大气、水、土壤、固体废物、新污染物等污染防治相关要求，明确环境质量改善阶段目标，落实《报告书》提出的《规划》优化调整建议及环境影响减缓对策措施。制定园区污染减排方案，采取有效措施减少主要污染物和特征污染物的排放量，推进挥发性有机物和氮氧化物协同减排，确保区域生态环境质量持续改善。</w:t>
                  </w:r>
                </w:p>
              </w:tc>
              <w:tc>
                <w:tcPr>
                  <w:tcW w:w="2120" w:type="pct"/>
                  <w:noWrap w:val="0"/>
                  <w:vAlign w:val="center"/>
                </w:tcPr>
                <w:p w14:paraId="48988C9D">
                  <w:pPr>
                    <w:adjustRightInd w:val="0"/>
                    <w:snapToGrid w:val="0"/>
                    <w:jc w:val="center"/>
                    <w:rPr>
                      <w:rFonts w:hint="eastAsia"/>
                      <w:color w:val="auto"/>
                      <w:sz w:val="21"/>
                      <w:szCs w:val="21"/>
                    </w:rPr>
                  </w:pPr>
                  <w:r>
                    <w:rPr>
                      <w:rFonts w:hint="eastAsia"/>
                      <w:color w:val="auto"/>
                      <w:sz w:val="21"/>
                      <w:szCs w:val="21"/>
                    </w:rPr>
                    <w:t>项目产生的VOCs经</w:t>
                  </w:r>
                  <w:r>
                    <w:rPr>
                      <w:rFonts w:hint="eastAsia"/>
                      <w:color w:val="auto"/>
                      <w:sz w:val="21"/>
                      <w:szCs w:val="21"/>
                      <w:lang w:val="en-US" w:eastAsia="zh-CN"/>
                    </w:rPr>
                    <w:t>排风扇以无组织形式排放至大气环境。</w:t>
                  </w:r>
                </w:p>
              </w:tc>
              <w:tc>
                <w:tcPr>
                  <w:tcW w:w="401" w:type="pct"/>
                  <w:noWrap w:val="0"/>
                  <w:vAlign w:val="center"/>
                </w:tcPr>
                <w:p w14:paraId="35731027">
                  <w:pPr>
                    <w:adjustRightInd w:val="0"/>
                    <w:snapToGrid w:val="0"/>
                    <w:jc w:val="center"/>
                    <w:rPr>
                      <w:color w:val="auto"/>
                      <w:sz w:val="21"/>
                      <w:szCs w:val="21"/>
                    </w:rPr>
                  </w:pPr>
                  <w:r>
                    <w:rPr>
                      <w:color w:val="auto"/>
                      <w:sz w:val="21"/>
                      <w:szCs w:val="21"/>
                    </w:rPr>
                    <w:t>符合</w:t>
                  </w:r>
                </w:p>
              </w:tc>
            </w:tr>
            <w:tr w14:paraId="0BFDF7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1577F993">
                  <w:pPr>
                    <w:adjustRightInd w:val="0"/>
                    <w:snapToGrid w:val="0"/>
                    <w:jc w:val="center"/>
                    <w:rPr>
                      <w:rFonts w:hint="eastAsia"/>
                      <w:b/>
                      <w:color w:val="auto"/>
                      <w:sz w:val="21"/>
                      <w:szCs w:val="21"/>
                    </w:rPr>
                  </w:pPr>
                  <w:r>
                    <w:rPr>
                      <w:b/>
                      <w:color w:val="auto"/>
                      <w:sz w:val="21"/>
                      <w:szCs w:val="21"/>
                    </w:rPr>
                    <w:t>㈤</w:t>
                  </w:r>
                  <w:r>
                    <w:rPr>
                      <w:rFonts w:hint="eastAsia"/>
                      <w:b/>
                      <w:color w:val="auto"/>
                      <w:sz w:val="21"/>
                      <w:szCs w:val="21"/>
                    </w:rPr>
                    <w:t>严格入园项目生态环境准入</w:t>
                  </w:r>
                </w:p>
                <w:p w14:paraId="575BDB52">
                  <w:pPr>
                    <w:adjustRightInd w:val="0"/>
                    <w:snapToGrid w:val="0"/>
                    <w:jc w:val="center"/>
                    <w:rPr>
                      <w:rFonts w:hint="eastAsia"/>
                      <w:color w:val="auto"/>
                      <w:sz w:val="21"/>
                      <w:szCs w:val="21"/>
                    </w:rPr>
                  </w:pPr>
                  <w:r>
                    <w:rPr>
                      <w:color w:val="auto"/>
                      <w:sz w:val="21"/>
                      <w:szCs w:val="21"/>
                    </w:rPr>
                    <w:t>严格落实《报告书》提出的生态环境准入要求，强化园区内企业污染物排放控制，提高清洁生产水平和污染治理水平，坚决遏制高耗能、高排放、高耗水建设项目盲目发展。园区内具体建设项目应按照国家、自治区环保法律法规、标准和政策，严格实行环境影响评价和</w:t>
                  </w:r>
                  <w:r>
                    <w:rPr>
                      <w:rFonts w:hint="eastAsia"/>
                      <w:color w:val="auto"/>
                      <w:sz w:val="21"/>
                      <w:szCs w:val="21"/>
                    </w:rPr>
                    <w:t>“</w:t>
                  </w:r>
                  <w:r>
                    <w:rPr>
                      <w:color w:val="auto"/>
                      <w:sz w:val="21"/>
                      <w:szCs w:val="21"/>
                    </w:rPr>
                    <w:t>三同时</w:t>
                  </w:r>
                  <w:r>
                    <w:rPr>
                      <w:rFonts w:hint="eastAsia"/>
                      <w:color w:val="auto"/>
                      <w:sz w:val="21"/>
                      <w:szCs w:val="21"/>
                    </w:rPr>
                    <w:t>”</w:t>
                  </w:r>
                  <w:r>
                    <w:rPr>
                      <w:color w:val="auto"/>
                      <w:sz w:val="21"/>
                      <w:szCs w:val="21"/>
                    </w:rPr>
                    <w:t>制度，依法申领、变更排污许可证。</w:t>
                  </w:r>
                </w:p>
              </w:tc>
              <w:tc>
                <w:tcPr>
                  <w:tcW w:w="2120" w:type="pct"/>
                  <w:noWrap w:val="0"/>
                  <w:vAlign w:val="center"/>
                </w:tcPr>
                <w:p w14:paraId="2B012BC6">
                  <w:pPr>
                    <w:adjustRightInd w:val="0"/>
                    <w:snapToGrid w:val="0"/>
                    <w:jc w:val="center"/>
                    <w:rPr>
                      <w:color w:val="auto"/>
                      <w:sz w:val="21"/>
                      <w:szCs w:val="21"/>
                    </w:rPr>
                  </w:pPr>
                  <w:r>
                    <w:rPr>
                      <w:rFonts w:hint="eastAsia"/>
                      <w:color w:val="auto"/>
                      <w:sz w:val="21"/>
                      <w:szCs w:val="21"/>
                    </w:rPr>
                    <w:t>本项目符合园区准入要求，项目运营期废气、废水均收集处理达标后排放，本项目不属于高耗能</w:t>
                  </w:r>
                  <w:r>
                    <w:rPr>
                      <w:color w:val="auto"/>
                      <w:sz w:val="21"/>
                      <w:szCs w:val="21"/>
                    </w:rPr>
                    <w:t>、高排放、高耗水建设项目</w:t>
                  </w:r>
                  <w:r>
                    <w:rPr>
                      <w:rFonts w:hint="eastAsia"/>
                      <w:color w:val="auto"/>
                      <w:sz w:val="21"/>
                      <w:szCs w:val="21"/>
                    </w:rPr>
                    <w:t>。项目后期严格实行三同时制度，并按照排污许可管理要求进行</w:t>
                  </w:r>
                  <w:r>
                    <w:rPr>
                      <w:rFonts w:hint="eastAsia" w:eastAsia="宋体"/>
                      <w:color w:val="auto"/>
                      <w:sz w:val="21"/>
                      <w:szCs w:val="21"/>
                      <w:lang w:eastAsia="zh-CN"/>
                    </w:rPr>
                    <w:t>简化管理</w:t>
                  </w:r>
                  <w:r>
                    <w:rPr>
                      <w:rFonts w:hint="eastAsia"/>
                      <w:color w:val="auto"/>
                      <w:sz w:val="21"/>
                      <w:szCs w:val="21"/>
                    </w:rPr>
                    <w:t>。</w:t>
                  </w:r>
                </w:p>
              </w:tc>
              <w:tc>
                <w:tcPr>
                  <w:tcW w:w="401" w:type="pct"/>
                  <w:noWrap w:val="0"/>
                  <w:vAlign w:val="center"/>
                </w:tcPr>
                <w:p w14:paraId="565A7041">
                  <w:pPr>
                    <w:adjustRightInd w:val="0"/>
                    <w:snapToGrid w:val="0"/>
                    <w:jc w:val="center"/>
                    <w:rPr>
                      <w:color w:val="auto"/>
                      <w:sz w:val="21"/>
                      <w:szCs w:val="21"/>
                    </w:rPr>
                  </w:pPr>
                  <w:r>
                    <w:rPr>
                      <w:color w:val="auto"/>
                      <w:sz w:val="21"/>
                      <w:szCs w:val="21"/>
                    </w:rPr>
                    <w:t>符合</w:t>
                  </w:r>
                </w:p>
              </w:tc>
            </w:tr>
            <w:tr w14:paraId="4CD22C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1C50A775">
                  <w:pPr>
                    <w:widowControl/>
                    <w:tabs>
                      <w:tab w:val="left" w:pos="3948"/>
                    </w:tabs>
                    <w:adjustRightInd w:val="0"/>
                    <w:snapToGrid w:val="0"/>
                    <w:jc w:val="center"/>
                    <w:rPr>
                      <w:b/>
                      <w:color w:val="auto"/>
                      <w:kern w:val="0"/>
                      <w:sz w:val="21"/>
                      <w:szCs w:val="21"/>
                    </w:rPr>
                  </w:pPr>
                  <w:r>
                    <w:rPr>
                      <w:b/>
                      <w:color w:val="auto"/>
                      <w:kern w:val="0"/>
                      <w:sz w:val="21"/>
                      <w:szCs w:val="21"/>
                    </w:rPr>
                    <w:t>㈥</w:t>
                  </w:r>
                  <w:r>
                    <w:rPr>
                      <w:rFonts w:hint="eastAsia"/>
                      <w:b/>
                      <w:color w:val="auto"/>
                      <w:kern w:val="0"/>
                      <w:sz w:val="21"/>
                      <w:szCs w:val="21"/>
                    </w:rPr>
                    <w:t>加强园区现状产业转型升级</w:t>
                  </w:r>
                </w:p>
                <w:p w14:paraId="61CC2567">
                  <w:pPr>
                    <w:widowControl/>
                    <w:tabs>
                      <w:tab w:val="left" w:pos="3948"/>
                    </w:tabs>
                    <w:adjustRightInd w:val="0"/>
                    <w:snapToGrid w:val="0"/>
                    <w:jc w:val="center"/>
                    <w:rPr>
                      <w:rFonts w:hint="eastAsia"/>
                      <w:color w:val="auto"/>
                      <w:sz w:val="21"/>
                      <w:szCs w:val="21"/>
                    </w:rPr>
                  </w:pPr>
                  <w:r>
                    <w:rPr>
                      <w:color w:val="auto"/>
                      <w:sz w:val="21"/>
                      <w:szCs w:val="21"/>
                    </w:rPr>
                    <w:t>加强对停产、停建企业以及现存的高耗能、高排放、高耗水和淘汰落后产能企业环境管理，落实《报告书》提出的升级改造意见建议</w:t>
                  </w:r>
                  <w:r>
                    <w:rPr>
                      <w:rFonts w:hint="eastAsia"/>
                      <w:color w:val="auto"/>
                      <w:kern w:val="0"/>
                      <w:sz w:val="21"/>
                      <w:szCs w:val="21"/>
                    </w:rPr>
                    <w:t>。</w:t>
                  </w:r>
                </w:p>
              </w:tc>
              <w:tc>
                <w:tcPr>
                  <w:tcW w:w="2120" w:type="pct"/>
                  <w:noWrap w:val="0"/>
                  <w:vAlign w:val="center"/>
                </w:tcPr>
                <w:p w14:paraId="6B6796AB">
                  <w:pPr>
                    <w:adjustRightInd w:val="0"/>
                    <w:snapToGrid w:val="0"/>
                    <w:jc w:val="center"/>
                    <w:rPr>
                      <w:rFonts w:hint="eastAsia"/>
                      <w:color w:val="auto"/>
                      <w:sz w:val="21"/>
                      <w:szCs w:val="21"/>
                    </w:rPr>
                  </w:pPr>
                  <w:r>
                    <w:rPr>
                      <w:rFonts w:hint="eastAsia"/>
                      <w:color w:val="auto"/>
                      <w:sz w:val="21"/>
                      <w:szCs w:val="21"/>
                    </w:rPr>
                    <w:t>本项目不涉及。</w:t>
                  </w:r>
                </w:p>
              </w:tc>
              <w:tc>
                <w:tcPr>
                  <w:tcW w:w="401" w:type="pct"/>
                  <w:noWrap w:val="0"/>
                  <w:vAlign w:val="center"/>
                </w:tcPr>
                <w:p w14:paraId="1817219B">
                  <w:pPr>
                    <w:adjustRightInd w:val="0"/>
                    <w:snapToGrid w:val="0"/>
                    <w:jc w:val="center"/>
                    <w:rPr>
                      <w:color w:val="auto"/>
                      <w:sz w:val="21"/>
                      <w:szCs w:val="21"/>
                    </w:rPr>
                  </w:pPr>
                  <w:r>
                    <w:rPr>
                      <w:color w:val="auto"/>
                      <w:sz w:val="21"/>
                      <w:szCs w:val="21"/>
                    </w:rPr>
                    <w:t>符合</w:t>
                  </w:r>
                </w:p>
              </w:tc>
            </w:tr>
            <w:tr w14:paraId="4A50A5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5B69A265">
                  <w:pPr>
                    <w:adjustRightInd w:val="0"/>
                    <w:snapToGrid w:val="0"/>
                    <w:jc w:val="center"/>
                    <w:rPr>
                      <w:rFonts w:hint="eastAsia"/>
                      <w:b/>
                      <w:bCs/>
                      <w:color w:val="auto"/>
                      <w:sz w:val="21"/>
                      <w:szCs w:val="21"/>
                    </w:rPr>
                  </w:pPr>
                  <w:r>
                    <w:rPr>
                      <w:b/>
                      <w:bCs/>
                      <w:color w:val="auto"/>
                      <w:sz w:val="21"/>
                      <w:szCs w:val="21"/>
                    </w:rPr>
                    <w:t>㈦</w:t>
                  </w:r>
                  <w:r>
                    <w:rPr>
                      <w:rFonts w:hint="eastAsia"/>
                      <w:b/>
                      <w:bCs/>
                      <w:color w:val="auto"/>
                      <w:sz w:val="21"/>
                      <w:szCs w:val="21"/>
                    </w:rPr>
                    <w:t>加强环境基础设施建设</w:t>
                  </w:r>
                </w:p>
                <w:p w14:paraId="75F638EA">
                  <w:pPr>
                    <w:adjustRightInd w:val="0"/>
                    <w:snapToGrid w:val="0"/>
                    <w:jc w:val="center"/>
                    <w:rPr>
                      <w:rFonts w:hint="eastAsia"/>
                      <w:color w:val="auto"/>
                      <w:sz w:val="21"/>
                      <w:szCs w:val="21"/>
                    </w:rPr>
                  </w:pPr>
                  <w:r>
                    <w:rPr>
                      <w:color w:val="auto"/>
                      <w:sz w:val="21"/>
                      <w:szCs w:val="21"/>
                    </w:rPr>
                    <w:t>结合产业发展需求，统筹规划环境基础设施，加快中水回用规模扩建及管网建设，落实园区中水回用方案，确保园区废水不外排，中水全部回用，污水处理厂长期稳定运行。一般工业固体废物、危险废物应依法依规收集、妥善安全处理处置</w:t>
                  </w:r>
                  <w:r>
                    <w:rPr>
                      <w:rFonts w:hint="eastAsia"/>
                      <w:color w:val="auto"/>
                      <w:sz w:val="21"/>
                      <w:szCs w:val="21"/>
                    </w:rPr>
                    <w:t>。</w:t>
                  </w:r>
                </w:p>
              </w:tc>
              <w:tc>
                <w:tcPr>
                  <w:tcW w:w="2120" w:type="pct"/>
                  <w:noWrap w:val="0"/>
                  <w:vAlign w:val="center"/>
                </w:tcPr>
                <w:p w14:paraId="7C665999">
                  <w:pPr>
                    <w:adjustRightInd w:val="0"/>
                    <w:snapToGrid w:val="0"/>
                    <w:jc w:val="center"/>
                    <w:rPr>
                      <w:rFonts w:hint="eastAsia"/>
                      <w:color w:val="auto"/>
                      <w:sz w:val="21"/>
                      <w:szCs w:val="21"/>
                    </w:rPr>
                  </w:pPr>
                  <w:r>
                    <w:rPr>
                      <w:color w:val="auto"/>
                      <w:sz w:val="21"/>
                      <w:szCs w:val="21"/>
                    </w:rPr>
                    <w:t>本项目</w:t>
                  </w:r>
                  <w:r>
                    <w:rPr>
                      <w:rFonts w:hint="eastAsia"/>
                      <w:color w:val="auto"/>
                      <w:sz w:val="21"/>
                      <w:szCs w:val="21"/>
                    </w:rPr>
                    <w:t>给排水、供电等利用园区已有设施，产生的一般固废集中收集后暂存于固废暂存间，定期拉运至固废处置场进行处理；产生的危险废物暂存至危废贮存库，定期送有资质单位安全处置。</w:t>
                  </w:r>
                </w:p>
              </w:tc>
              <w:tc>
                <w:tcPr>
                  <w:tcW w:w="401" w:type="pct"/>
                  <w:noWrap w:val="0"/>
                  <w:vAlign w:val="center"/>
                </w:tcPr>
                <w:p w14:paraId="65400D37">
                  <w:pPr>
                    <w:adjustRightInd w:val="0"/>
                    <w:snapToGrid w:val="0"/>
                    <w:jc w:val="center"/>
                    <w:rPr>
                      <w:color w:val="auto"/>
                      <w:sz w:val="21"/>
                      <w:szCs w:val="21"/>
                    </w:rPr>
                  </w:pPr>
                  <w:r>
                    <w:rPr>
                      <w:color w:val="auto"/>
                      <w:sz w:val="21"/>
                      <w:szCs w:val="21"/>
                    </w:rPr>
                    <w:t>符合</w:t>
                  </w:r>
                </w:p>
              </w:tc>
            </w:tr>
            <w:tr w14:paraId="6E953D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1C92DE14">
                  <w:pPr>
                    <w:adjustRightInd w:val="0"/>
                    <w:snapToGrid w:val="0"/>
                    <w:jc w:val="center"/>
                    <w:rPr>
                      <w:rFonts w:hint="eastAsia"/>
                      <w:b/>
                      <w:bCs/>
                      <w:color w:val="auto"/>
                      <w:sz w:val="21"/>
                      <w:szCs w:val="21"/>
                    </w:rPr>
                  </w:pPr>
                  <w:r>
                    <w:rPr>
                      <w:b/>
                      <w:bCs/>
                      <w:color w:val="auto"/>
                      <w:sz w:val="21"/>
                      <w:szCs w:val="21"/>
                    </w:rPr>
                    <w:fldChar w:fldCharType="begin"/>
                  </w:r>
                  <w:r>
                    <w:rPr>
                      <w:b/>
                      <w:bCs/>
                      <w:color w:val="auto"/>
                      <w:sz w:val="21"/>
                      <w:szCs w:val="21"/>
                    </w:rPr>
                    <w:instrText xml:space="preserve"> = 8 \* GB4 \* MERGEFORMAT </w:instrText>
                  </w:r>
                  <w:r>
                    <w:rPr>
                      <w:b/>
                      <w:bCs/>
                      <w:color w:val="auto"/>
                      <w:sz w:val="21"/>
                      <w:szCs w:val="21"/>
                    </w:rPr>
                    <w:fldChar w:fldCharType="separate"/>
                  </w:r>
                  <w:r>
                    <w:rPr>
                      <w:b/>
                      <w:bCs/>
                      <w:color w:val="auto"/>
                      <w:sz w:val="21"/>
                      <w:szCs w:val="21"/>
                    </w:rPr>
                    <w:t>㈧</w:t>
                  </w:r>
                  <w:r>
                    <w:rPr>
                      <w:b/>
                      <w:bCs/>
                      <w:color w:val="auto"/>
                      <w:sz w:val="21"/>
                      <w:szCs w:val="21"/>
                    </w:rPr>
                    <w:fldChar w:fldCharType="end"/>
                  </w:r>
                  <w:r>
                    <w:rPr>
                      <w:rFonts w:hint="eastAsia"/>
                      <w:b/>
                      <w:bCs/>
                      <w:color w:val="auto"/>
                      <w:sz w:val="21"/>
                      <w:szCs w:val="21"/>
                    </w:rPr>
                    <w:t>强化环境风险防范</w:t>
                  </w:r>
                </w:p>
                <w:p w14:paraId="1E78FEF5">
                  <w:pPr>
                    <w:adjustRightInd w:val="0"/>
                    <w:snapToGrid w:val="0"/>
                    <w:jc w:val="center"/>
                    <w:rPr>
                      <w:color w:val="auto"/>
                      <w:sz w:val="21"/>
                      <w:szCs w:val="21"/>
                    </w:rPr>
                  </w:pPr>
                  <w:r>
                    <w:rPr>
                      <w:color w:val="auto"/>
                      <w:sz w:val="21"/>
                      <w:szCs w:val="21"/>
                    </w:rPr>
                    <w:t>园区内环保设施在设计、施工、验收、使用等方面要严格执行国家、自治区有关规定，确保安全生产工作。建立完善包括环境空气、地表水、地下水等环境要素的监测体系。强化区域环境风险防范体系，建立园区-厂区-单元“三级”应急响应联动机制，提升环境风险防控和应急响应能力，保障区域环境安全。</w:t>
                  </w:r>
                </w:p>
              </w:tc>
              <w:tc>
                <w:tcPr>
                  <w:tcW w:w="2120" w:type="pct"/>
                  <w:noWrap w:val="0"/>
                  <w:vAlign w:val="center"/>
                </w:tcPr>
                <w:p w14:paraId="2B7241EC">
                  <w:pPr>
                    <w:adjustRightInd w:val="0"/>
                    <w:snapToGrid w:val="0"/>
                    <w:jc w:val="center"/>
                    <w:rPr>
                      <w:color w:val="auto"/>
                      <w:sz w:val="21"/>
                      <w:szCs w:val="21"/>
                    </w:rPr>
                  </w:pPr>
                  <w:r>
                    <w:rPr>
                      <w:rFonts w:hint="eastAsia"/>
                      <w:color w:val="auto"/>
                      <w:sz w:val="21"/>
                      <w:szCs w:val="21"/>
                    </w:rPr>
                    <w:t>本项目</w:t>
                  </w:r>
                  <w:r>
                    <w:rPr>
                      <w:color w:val="auto"/>
                      <w:sz w:val="21"/>
                      <w:szCs w:val="21"/>
                    </w:rPr>
                    <w:t>环保设施在设计、施工、验收、使用等方面</w:t>
                  </w:r>
                  <w:r>
                    <w:rPr>
                      <w:rFonts w:hint="eastAsia"/>
                      <w:color w:val="auto"/>
                      <w:sz w:val="21"/>
                      <w:szCs w:val="21"/>
                    </w:rPr>
                    <w:t>应</w:t>
                  </w:r>
                  <w:r>
                    <w:rPr>
                      <w:color w:val="auto"/>
                      <w:sz w:val="21"/>
                      <w:szCs w:val="21"/>
                    </w:rPr>
                    <w:t>严格执行国家、自治区有关规定，确保安全生产工作。</w:t>
                  </w:r>
                  <w:r>
                    <w:rPr>
                      <w:rFonts w:hint="eastAsia"/>
                      <w:color w:val="auto"/>
                      <w:sz w:val="21"/>
                      <w:szCs w:val="21"/>
                    </w:rPr>
                    <w:t>后期及时编制应急预案并</w:t>
                  </w:r>
                  <w:r>
                    <w:rPr>
                      <w:color w:val="auto"/>
                      <w:sz w:val="21"/>
                      <w:szCs w:val="21"/>
                    </w:rPr>
                    <w:t>建立园区-厂区-单元</w:t>
                  </w:r>
                  <w:r>
                    <w:rPr>
                      <w:rFonts w:hint="eastAsia"/>
                      <w:color w:val="auto"/>
                      <w:sz w:val="21"/>
                      <w:szCs w:val="21"/>
                    </w:rPr>
                    <w:t>“</w:t>
                  </w:r>
                  <w:r>
                    <w:rPr>
                      <w:color w:val="auto"/>
                      <w:sz w:val="21"/>
                      <w:szCs w:val="21"/>
                    </w:rPr>
                    <w:t>三级</w:t>
                  </w:r>
                  <w:r>
                    <w:rPr>
                      <w:rFonts w:hint="eastAsia"/>
                      <w:color w:val="auto"/>
                      <w:sz w:val="21"/>
                      <w:szCs w:val="21"/>
                    </w:rPr>
                    <w:t>”</w:t>
                  </w:r>
                  <w:r>
                    <w:rPr>
                      <w:color w:val="auto"/>
                      <w:sz w:val="21"/>
                      <w:szCs w:val="21"/>
                    </w:rPr>
                    <w:t>应急响应联动机制，提升环境风险防控和应急响应能力，保障区域环境安全</w:t>
                  </w:r>
                  <w:r>
                    <w:rPr>
                      <w:rFonts w:hint="eastAsia"/>
                      <w:color w:val="auto"/>
                      <w:sz w:val="21"/>
                      <w:szCs w:val="21"/>
                    </w:rPr>
                    <w:t>。</w:t>
                  </w:r>
                </w:p>
              </w:tc>
              <w:tc>
                <w:tcPr>
                  <w:tcW w:w="401" w:type="pct"/>
                  <w:noWrap w:val="0"/>
                  <w:vAlign w:val="center"/>
                </w:tcPr>
                <w:p w14:paraId="20B0907D">
                  <w:pPr>
                    <w:adjustRightInd w:val="0"/>
                    <w:snapToGrid w:val="0"/>
                    <w:jc w:val="center"/>
                    <w:rPr>
                      <w:color w:val="auto"/>
                      <w:sz w:val="21"/>
                      <w:szCs w:val="21"/>
                    </w:rPr>
                  </w:pPr>
                  <w:r>
                    <w:rPr>
                      <w:color w:val="auto"/>
                      <w:sz w:val="21"/>
                      <w:szCs w:val="21"/>
                    </w:rPr>
                    <w:t>符合</w:t>
                  </w:r>
                </w:p>
              </w:tc>
            </w:tr>
            <w:tr w14:paraId="69322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7" w:type="pct"/>
                  <w:noWrap w:val="0"/>
                  <w:vAlign w:val="center"/>
                </w:tcPr>
                <w:p w14:paraId="28926286">
                  <w:pPr>
                    <w:adjustRightInd w:val="0"/>
                    <w:snapToGrid w:val="0"/>
                    <w:jc w:val="center"/>
                    <w:rPr>
                      <w:rFonts w:hint="eastAsia"/>
                      <w:b/>
                      <w:bCs/>
                      <w:color w:val="auto"/>
                      <w:sz w:val="21"/>
                      <w:szCs w:val="21"/>
                    </w:rPr>
                  </w:pPr>
                  <w:r>
                    <w:rPr>
                      <w:rFonts w:hint="eastAsia"/>
                      <w:b/>
                      <w:bCs/>
                      <w:color w:val="auto"/>
                      <w:sz w:val="21"/>
                      <w:szCs w:val="21"/>
                    </w:rPr>
                    <w:fldChar w:fldCharType="begin"/>
                  </w:r>
                  <w:r>
                    <w:rPr>
                      <w:rFonts w:hint="eastAsia"/>
                      <w:b/>
                      <w:bCs/>
                      <w:color w:val="auto"/>
                      <w:sz w:val="21"/>
                      <w:szCs w:val="21"/>
                    </w:rPr>
                    <w:instrText xml:space="preserve"> = 9 \* GB4 \* MERGEFORMAT </w:instrText>
                  </w:r>
                  <w:r>
                    <w:rPr>
                      <w:rFonts w:hint="eastAsia"/>
                      <w:b/>
                      <w:bCs/>
                      <w:color w:val="auto"/>
                      <w:sz w:val="21"/>
                      <w:szCs w:val="21"/>
                    </w:rPr>
                    <w:fldChar w:fldCharType="separate"/>
                  </w:r>
                  <w:r>
                    <w:rPr>
                      <w:b/>
                      <w:bCs/>
                      <w:color w:val="auto"/>
                      <w:sz w:val="21"/>
                      <w:szCs w:val="21"/>
                    </w:rPr>
                    <w:t>㈨</w:t>
                  </w:r>
                  <w:r>
                    <w:rPr>
                      <w:rFonts w:hint="eastAsia"/>
                      <w:b/>
                      <w:bCs/>
                      <w:color w:val="auto"/>
                      <w:sz w:val="21"/>
                      <w:szCs w:val="21"/>
                    </w:rPr>
                    <w:fldChar w:fldCharType="end"/>
                  </w:r>
                  <w:r>
                    <w:rPr>
                      <w:rFonts w:hint="eastAsia"/>
                      <w:b/>
                      <w:bCs/>
                      <w:color w:val="auto"/>
                      <w:sz w:val="21"/>
                      <w:szCs w:val="21"/>
                    </w:rPr>
                    <w:t>落实规划环评工作的相关要求</w:t>
                  </w:r>
                </w:p>
                <w:p w14:paraId="707E26AD">
                  <w:pPr>
                    <w:adjustRightInd w:val="0"/>
                    <w:snapToGrid w:val="0"/>
                    <w:jc w:val="center"/>
                    <w:rPr>
                      <w:color w:val="auto"/>
                      <w:sz w:val="21"/>
                      <w:szCs w:val="21"/>
                    </w:rPr>
                  </w:pPr>
                  <w:r>
                    <w:rPr>
                      <w:color w:val="auto"/>
                      <w:sz w:val="21"/>
                      <w:szCs w:val="21"/>
                    </w:rPr>
                    <w:t>在《规划》实施过程中，加强监督管理，落实各项环境治理措施，并适时开展环境影响跟踪评价。《规划》修编时应重新编制环境影响报告书。</w:t>
                  </w:r>
                </w:p>
              </w:tc>
              <w:tc>
                <w:tcPr>
                  <w:tcW w:w="2120" w:type="pct"/>
                  <w:noWrap w:val="0"/>
                  <w:vAlign w:val="center"/>
                </w:tcPr>
                <w:p w14:paraId="22B23854">
                  <w:pPr>
                    <w:adjustRightInd w:val="0"/>
                    <w:snapToGrid w:val="0"/>
                    <w:jc w:val="center"/>
                    <w:rPr>
                      <w:color w:val="auto"/>
                      <w:sz w:val="21"/>
                      <w:szCs w:val="21"/>
                    </w:rPr>
                  </w:pPr>
                  <w:r>
                    <w:rPr>
                      <w:rFonts w:hint="eastAsia"/>
                      <w:color w:val="auto"/>
                      <w:sz w:val="21"/>
                      <w:szCs w:val="21"/>
                    </w:rPr>
                    <w:t>项目在实施过程中应按照要求落实各项环境治理措施，并按照排污许可规范要求开展例行检查。</w:t>
                  </w:r>
                </w:p>
              </w:tc>
              <w:tc>
                <w:tcPr>
                  <w:tcW w:w="401" w:type="pct"/>
                  <w:noWrap w:val="0"/>
                  <w:vAlign w:val="center"/>
                </w:tcPr>
                <w:p w14:paraId="21A787E9">
                  <w:pPr>
                    <w:adjustRightInd w:val="0"/>
                    <w:snapToGrid w:val="0"/>
                    <w:jc w:val="center"/>
                    <w:rPr>
                      <w:color w:val="auto"/>
                      <w:sz w:val="21"/>
                      <w:szCs w:val="21"/>
                    </w:rPr>
                  </w:pPr>
                  <w:r>
                    <w:rPr>
                      <w:color w:val="auto"/>
                      <w:sz w:val="21"/>
                      <w:szCs w:val="21"/>
                    </w:rPr>
                    <w:t>符合</w:t>
                  </w:r>
                </w:p>
              </w:tc>
            </w:tr>
          </w:tbl>
          <w:p w14:paraId="43111CE6">
            <w:pPr>
              <w:pStyle w:val="23"/>
              <w:bidi w:val="0"/>
              <w:rPr>
                <w:rFonts w:hint="eastAsia" w:ascii="Times New Roman" w:hAnsi="Times New Roman" w:eastAsia="宋体" w:cs="Times New Roman"/>
                <w:color w:val="auto"/>
                <w:kern w:val="0"/>
                <w:szCs w:val="21"/>
                <w:lang w:eastAsia="zh-CN"/>
              </w:rPr>
            </w:pPr>
            <w:r>
              <w:rPr>
                <w:rFonts w:hint="eastAsia" w:cs="Times New Roman"/>
                <w:color w:val="auto"/>
                <w:kern w:val="0"/>
                <w:szCs w:val="21"/>
                <w:lang w:eastAsia="zh-CN"/>
              </w:rPr>
              <w:t>根据上表分析，本项目符合《自治区生态环境厅关于&lt;宁夏固原经济开发区“一区三园”总体规划修编（2020-2035年）环境影响报告书&gt;审查意见的函》（宁环函〔2023〕455号）中的相关要求。</w:t>
            </w:r>
          </w:p>
        </w:tc>
      </w:tr>
      <w:tr w14:paraId="7553B3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18" w:type="dxa"/>
            <w:noWrap w:val="0"/>
            <w:vAlign w:val="center"/>
          </w:tcPr>
          <w:p w14:paraId="5CBD795F">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380" w:type="dxa"/>
            <w:gridSpan w:val="3"/>
            <w:noWrap w:val="0"/>
            <w:vAlign w:val="center"/>
          </w:tcPr>
          <w:p w14:paraId="5EDA9E9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1、与国家产业政策符合性分析</w:t>
            </w:r>
          </w:p>
          <w:p w14:paraId="576CEBBB">
            <w:pPr>
              <w:adjustRightInd w:val="0"/>
              <w:snapToGrid w:val="0"/>
              <w:spacing w:line="360" w:lineRule="auto"/>
              <w:ind w:firstLine="480" w:firstLineChars="200"/>
              <w:jc w:val="left"/>
              <w:rPr>
                <w:rFonts w:hint="default" w:ascii="Times New Roman" w:hAnsi="Times New Roman" w:cs="Times New Roman"/>
                <w:snapToGrid w:val="0"/>
                <w:color w:val="auto"/>
                <w:highlight w:val="none"/>
              </w:rPr>
            </w:pPr>
            <w:r>
              <w:rPr>
                <w:color w:val="auto"/>
              </w:rPr>
              <w:t>根据《产业结构调整指导目录（20</w:t>
            </w:r>
            <w:r>
              <w:rPr>
                <w:rFonts w:hint="eastAsia"/>
                <w:color w:val="auto"/>
                <w:lang w:val="en-US" w:eastAsia="zh-CN"/>
              </w:rPr>
              <w:t>24</w:t>
            </w:r>
            <w:r>
              <w:rPr>
                <w:color w:val="auto"/>
              </w:rPr>
              <w:t>年本）》，</w:t>
            </w:r>
            <w:r>
              <w:rPr>
                <w:rFonts w:hint="eastAsia"/>
                <w:color w:val="auto"/>
              </w:rPr>
              <w:t>本项目所属行业</w:t>
            </w:r>
            <w:r>
              <w:rPr>
                <w:rFonts w:hint="eastAsia"/>
                <w:color w:val="auto"/>
                <w:lang w:val="en-US" w:eastAsia="zh-CN"/>
              </w:rPr>
              <w:t>不属于鼓励类、淘汰类和限制类，因此属于允许类</w:t>
            </w:r>
            <w:r>
              <w:rPr>
                <w:rFonts w:hint="eastAsia"/>
                <w:color w:val="auto"/>
              </w:rPr>
              <w:t>项目</w:t>
            </w:r>
            <w:r>
              <w:rPr>
                <w:rFonts w:hint="eastAsia"/>
                <w:color w:val="auto"/>
                <w:lang w:eastAsia="zh-CN"/>
              </w:rPr>
              <w:t>。</w:t>
            </w:r>
            <w:r>
              <w:rPr>
                <w:rFonts w:hint="default" w:ascii="Times New Roman" w:hAnsi="Times New Roman" w:cs="Times New Roman"/>
                <w:snapToGrid w:val="0"/>
                <w:color w:val="auto"/>
                <w:highlight w:val="none"/>
              </w:rPr>
              <w:t>根据《自治区人民政府关于发布宁夏回族自治区企业投资项目核准限制和淘汰产业目录的通知》（宁政发[2014]116号），项目不在核准、限制和淘汰产业目录内</w:t>
            </w:r>
            <w:r>
              <w:rPr>
                <w:rFonts w:hint="eastAsia" w:ascii="Times New Roman" w:hAnsi="Times New Roman" w:cs="Times New Roman"/>
                <w:snapToGrid w:val="0"/>
                <w:color w:val="auto"/>
                <w:highlight w:val="none"/>
                <w:lang w:eastAsia="zh-CN"/>
              </w:rPr>
              <w:t>，</w:t>
            </w:r>
            <w:r>
              <w:rPr>
                <w:rFonts w:hint="default" w:ascii="Times New Roman" w:hAnsi="Times New Roman" w:cs="Times New Roman"/>
                <w:snapToGrid w:val="0"/>
                <w:color w:val="auto"/>
                <w:szCs w:val="28"/>
                <w:highlight w:val="none"/>
              </w:rPr>
              <w:t>本项目符地方产业发展政策。</w:t>
            </w:r>
            <w:r>
              <w:rPr>
                <w:rFonts w:hint="default" w:ascii="Times New Roman" w:hAnsi="Times New Roman" w:cs="Times New Roman"/>
                <w:snapToGrid w:val="0"/>
                <w:color w:val="auto"/>
                <w:highlight w:val="none"/>
              </w:rPr>
              <w:t>项目已得到</w:t>
            </w:r>
            <w:r>
              <w:rPr>
                <w:rFonts w:hint="default" w:ascii="Times New Roman" w:hAnsi="Times New Roman" w:cs="Times New Roman"/>
                <w:snapToGrid w:val="0"/>
                <w:color w:val="auto"/>
                <w:szCs w:val="22"/>
                <w:highlight w:val="none"/>
                <w:lang w:eastAsia="zh-CN"/>
              </w:rPr>
              <w:t>宁夏固原经济开发区管理委员会</w:t>
            </w:r>
            <w:r>
              <w:rPr>
                <w:rFonts w:hint="default" w:ascii="Times New Roman" w:hAnsi="Times New Roman" w:cs="Times New Roman"/>
                <w:snapToGrid w:val="0"/>
                <w:color w:val="auto"/>
                <w:highlight w:val="none"/>
              </w:rPr>
              <w:t>备案，</w:t>
            </w:r>
            <w:r>
              <w:rPr>
                <w:rFonts w:hint="eastAsia" w:hAnsi="Times New Roman" w:cs="Times New Roman"/>
                <w:snapToGrid w:val="0"/>
                <w:color w:val="auto"/>
                <w:highlight w:val="none"/>
                <w:lang w:eastAsia="zh-CN"/>
              </w:rPr>
              <w:t>项目代码</w:t>
            </w:r>
            <w:r>
              <w:rPr>
                <w:rFonts w:hint="default" w:ascii="Times New Roman" w:hAnsi="Times New Roman" w:cs="Times New Roman"/>
                <w:snapToGrid w:val="0"/>
                <w:color w:val="auto"/>
                <w:highlight w:val="none"/>
              </w:rPr>
              <w:t>为</w:t>
            </w:r>
            <w:r>
              <w:rPr>
                <w:rFonts w:hint="eastAsia" w:hAnsi="Times New Roman" w:cs="Times New Roman"/>
                <w:snapToGrid w:val="0"/>
                <w:color w:val="auto"/>
                <w:highlight w:val="none"/>
                <w:lang w:eastAsia="zh-CN"/>
              </w:rPr>
              <w:t>：</w:t>
            </w:r>
            <w:r>
              <w:rPr>
                <w:rFonts w:hint="default" w:ascii="Times New Roman" w:hAnsi="Times New Roman" w:cs="Times New Roman"/>
                <w:color w:val="auto"/>
                <w:szCs w:val="21"/>
              </w:rPr>
              <w:t>2211-640940-04-01-846836</w:t>
            </w:r>
            <w:r>
              <w:rPr>
                <w:rFonts w:hint="default" w:ascii="Times New Roman" w:hAnsi="Times New Roman" w:cs="Times New Roman"/>
                <w:snapToGrid w:val="0"/>
                <w:color w:val="auto"/>
                <w:highlight w:val="none"/>
              </w:rPr>
              <w:t>，符合国家和地方产业政策要求。</w:t>
            </w:r>
          </w:p>
          <w:p w14:paraId="66A30264">
            <w:pPr>
              <w:adjustRightInd w:val="0"/>
              <w:snapToGrid w:val="0"/>
              <w:spacing w:line="360" w:lineRule="auto"/>
              <w:ind w:firstLine="480" w:firstLineChars="200"/>
              <w:jc w:val="left"/>
              <w:rPr>
                <w:rFonts w:hint="default" w:ascii="Times New Roman" w:hAnsi="Times New Roman" w:cs="Times New Roman"/>
                <w:snapToGrid w:val="0"/>
                <w:color w:val="auto"/>
                <w:szCs w:val="28"/>
                <w:highlight w:val="none"/>
              </w:rPr>
            </w:pPr>
            <w:r>
              <w:rPr>
                <w:rFonts w:hint="default" w:ascii="Times New Roman" w:hAnsi="Times New Roman" w:cs="Times New Roman"/>
                <w:snapToGrid w:val="0"/>
                <w:color w:val="auto"/>
                <w:szCs w:val="28"/>
                <w:highlight w:val="none"/>
              </w:rPr>
              <w:t>根据《淘汰落后生产能力、工艺和产品的目录》，项目生产设备、产品均不属于其淘汰范围。</w:t>
            </w:r>
          </w:p>
          <w:p w14:paraId="586E492A">
            <w:pPr>
              <w:adjustRightInd w:val="0"/>
              <w:snapToGrid w:val="0"/>
              <w:spacing w:line="360" w:lineRule="auto"/>
              <w:ind w:firstLine="480" w:firstLineChars="200"/>
              <w:jc w:val="left"/>
              <w:rPr>
                <w:rFonts w:hint="default" w:ascii="Times New Roman" w:hAnsi="Times New Roman" w:cs="Times New Roman"/>
                <w:snapToGrid w:val="0"/>
                <w:color w:val="auto"/>
                <w:szCs w:val="28"/>
                <w:highlight w:val="none"/>
              </w:rPr>
            </w:pPr>
            <w:r>
              <w:rPr>
                <w:rFonts w:hint="default" w:ascii="Times New Roman" w:hAnsi="Times New Roman" w:cs="Times New Roman"/>
                <w:snapToGrid w:val="0"/>
                <w:color w:val="auto"/>
                <w:szCs w:val="28"/>
                <w:highlight w:val="none"/>
              </w:rPr>
              <w:t>项目位于</w:t>
            </w:r>
            <w:r>
              <w:rPr>
                <w:rFonts w:hint="default" w:ascii="Times New Roman" w:hAnsi="Times New Roman" w:cs="Times New Roman"/>
                <w:snapToGrid w:val="0"/>
                <w:color w:val="auto"/>
                <w:kern w:val="0"/>
                <w:szCs w:val="22"/>
                <w:highlight w:val="none"/>
                <w:lang w:eastAsia="zh-CN"/>
              </w:rPr>
              <w:t>宁夏固原经济开发区</w:t>
            </w:r>
            <w:r>
              <w:rPr>
                <w:rFonts w:hint="default" w:ascii="Times New Roman" w:hAnsi="Times New Roman" w:cs="Times New Roman"/>
                <w:snapToGrid w:val="0"/>
                <w:color w:val="auto"/>
                <w:szCs w:val="22"/>
                <w:highlight w:val="none"/>
              </w:rPr>
              <w:t>，项目</w:t>
            </w:r>
            <w:r>
              <w:rPr>
                <w:rFonts w:hint="default" w:ascii="Times New Roman" w:hAnsi="Times New Roman" w:cs="Times New Roman"/>
                <w:snapToGrid w:val="0"/>
                <w:color w:val="auto"/>
                <w:szCs w:val="28"/>
                <w:highlight w:val="none"/>
              </w:rPr>
              <w:t>为</w:t>
            </w:r>
            <w:r>
              <w:rPr>
                <w:rFonts w:hint="default" w:ascii="Times New Roman" w:hAnsi="Times New Roman" w:cs="Times New Roman"/>
                <w:snapToGrid w:val="0"/>
                <w:color w:val="auto"/>
                <w:szCs w:val="28"/>
                <w:highlight w:val="none"/>
                <w:lang w:eastAsia="zh-CN"/>
              </w:rPr>
              <w:t>新建</w:t>
            </w:r>
            <w:r>
              <w:rPr>
                <w:rFonts w:hint="default" w:ascii="Times New Roman" w:hAnsi="Times New Roman" w:cs="Times New Roman"/>
                <w:snapToGrid w:val="0"/>
                <w:color w:val="auto"/>
                <w:szCs w:val="28"/>
                <w:highlight w:val="none"/>
              </w:rPr>
              <w:t>项目，占地属于工业用地，</w:t>
            </w:r>
            <w:r>
              <w:rPr>
                <w:rFonts w:hint="default" w:ascii="Times New Roman" w:hAnsi="Times New Roman" w:cs="Times New Roman"/>
                <w:snapToGrid w:val="0"/>
                <w:color w:val="auto"/>
                <w:szCs w:val="28"/>
                <w:highlight w:val="none"/>
                <w:lang w:eastAsia="zh-CN"/>
              </w:rPr>
              <w:t>不属于</w:t>
            </w:r>
            <w:r>
              <w:rPr>
                <w:rFonts w:hint="default" w:ascii="Times New Roman" w:hAnsi="Times New Roman" w:cs="Times New Roman"/>
                <w:snapToGrid w:val="0"/>
                <w:color w:val="auto"/>
                <w:szCs w:val="28"/>
                <w:highlight w:val="none"/>
              </w:rPr>
              <w:t>国土资源部和国家发改委制定的《限制用地项目目录(2012年本)》和《禁止用地项目目录(2012年本)》中</w:t>
            </w:r>
            <w:r>
              <w:rPr>
                <w:rFonts w:hint="default" w:ascii="Times New Roman" w:hAnsi="Times New Roman" w:cs="Times New Roman"/>
                <w:snapToGrid w:val="0"/>
                <w:color w:val="auto"/>
                <w:szCs w:val="28"/>
                <w:highlight w:val="none"/>
                <w:lang w:eastAsia="zh-CN"/>
              </w:rPr>
              <w:t>的限值用地和禁止用地</w:t>
            </w:r>
            <w:r>
              <w:rPr>
                <w:rFonts w:hint="default" w:ascii="Times New Roman" w:hAnsi="Times New Roman" w:cs="Times New Roman"/>
                <w:snapToGrid w:val="0"/>
                <w:color w:val="auto"/>
                <w:szCs w:val="28"/>
                <w:highlight w:val="none"/>
              </w:rPr>
              <w:t>，因此，项目用地符合土地政策的要求。</w:t>
            </w:r>
          </w:p>
          <w:p w14:paraId="3B850A80">
            <w:pPr>
              <w:adjustRightInd w:val="0"/>
              <w:snapToGrid w:val="0"/>
              <w:spacing w:line="360" w:lineRule="auto"/>
              <w:ind w:firstLine="480" w:firstLineChars="200"/>
              <w:jc w:val="left"/>
              <w:rPr>
                <w:rFonts w:hint="default" w:ascii="Times New Roman" w:hAnsi="Times New Roman" w:cs="Times New Roman"/>
                <w:snapToGrid w:val="0"/>
                <w:color w:val="auto"/>
                <w:szCs w:val="28"/>
                <w:highlight w:val="none"/>
              </w:rPr>
            </w:pPr>
            <w:r>
              <w:rPr>
                <w:rFonts w:hint="default" w:ascii="Times New Roman" w:hAnsi="Times New Roman" w:cs="Times New Roman"/>
                <w:snapToGrid w:val="0"/>
                <w:color w:val="auto"/>
                <w:szCs w:val="28"/>
                <w:highlight w:val="none"/>
              </w:rPr>
              <w:t>因此，综上所述，本项目的建设符合国家及地方相关产业政策。</w:t>
            </w:r>
          </w:p>
          <w:p w14:paraId="19E02D58">
            <w:pPr>
              <w:pStyle w:val="23"/>
              <w:bidi w:val="0"/>
              <w:rPr>
                <w:rFonts w:hint="eastAsia"/>
                <w:color w:val="auto"/>
              </w:rPr>
            </w:pPr>
            <w:r>
              <w:rPr>
                <w:rFonts w:hint="eastAsia" w:cs="Times New Roman"/>
                <w:b/>
                <w:bCs/>
                <w:color w:val="auto"/>
                <w:sz w:val="24"/>
                <w:lang w:val="en-US" w:eastAsia="zh-CN"/>
              </w:rPr>
              <w:t>2</w:t>
            </w: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eastAsia="zh-CN"/>
              </w:rPr>
              <w:t>项目与</w:t>
            </w:r>
            <w:r>
              <w:rPr>
                <w:rFonts w:hint="eastAsia" w:ascii="Times New Roman" w:hAnsi="Times New Roman" w:eastAsia="宋体" w:cs="Times New Roman"/>
                <w:b/>
                <w:bCs/>
                <w:color w:val="auto"/>
                <w:sz w:val="24"/>
                <w:lang w:eastAsia="zh-CN"/>
              </w:rPr>
              <w:t>固原市</w:t>
            </w:r>
            <w:r>
              <w:rPr>
                <w:rFonts w:hint="default" w:ascii="Times New Roman" w:hAnsi="Times New Roman" w:eastAsia="宋体" w:cs="Times New Roman"/>
                <w:b/>
                <w:bCs/>
                <w:color w:val="auto"/>
                <w:sz w:val="24"/>
              </w:rPr>
              <w:t>人民政府</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固原市生态环境分区管控实施方案</w:t>
            </w:r>
            <w:r>
              <w:rPr>
                <w:rFonts w:hint="eastAsia" w:ascii="Times New Roman" w:hAnsi="Times New Roman" w:eastAsia="宋体" w:cs="Times New Roman"/>
                <w:b/>
                <w:bCs/>
                <w:color w:val="auto"/>
                <w:sz w:val="24"/>
                <w:lang w:eastAsia="zh-CN"/>
              </w:rPr>
              <w:t>》（固政发〔2024〕28号）</w:t>
            </w:r>
            <w:r>
              <w:rPr>
                <w:rFonts w:hint="default" w:ascii="Times New Roman" w:hAnsi="Times New Roman" w:eastAsia="宋体" w:cs="Times New Roman"/>
                <w:b/>
                <w:bCs/>
                <w:color w:val="auto"/>
                <w:sz w:val="24"/>
              </w:rPr>
              <w:t>符合性分析</w:t>
            </w:r>
          </w:p>
          <w:p w14:paraId="26B8D90A">
            <w:pPr>
              <w:pStyle w:val="23"/>
              <w:bidi w:val="0"/>
              <w:rPr>
                <w:color w:val="auto"/>
              </w:rPr>
            </w:pPr>
            <w:r>
              <w:rPr>
                <w:rFonts w:hint="eastAsia"/>
                <w:color w:val="auto"/>
                <w:lang w:val="en-US" w:eastAsia="zh-CN"/>
              </w:rPr>
              <w:t>（1）</w:t>
            </w:r>
            <w:r>
              <w:rPr>
                <w:color w:val="auto"/>
              </w:rPr>
              <w:t>生态红线</w:t>
            </w:r>
          </w:p>
          <w:p w14:paraId="5FB334FE">
            <w:pPr>
              <w:pStyle w:val="23"/>
              <w:bidi w:val="0"/>
              <w:rPr>
                <w:rFonts w:hint="eastAsia"/>
                <w:color w:val="auto"/>
              </w:rPr>
            </w:pPr>
            <w:r>
              <w:rPr>
                <w:color w:val="auto"/>
              </w:rPr>
              <w:t>本项目位于</w:t>
            </w:r>
            <w:r>
              <w:rPr>
                <w:rFonts w:hint="eastAsia"/>
                <w:color w:val="auto"/>
              </w:rPr>
              <w:t>宁夏固原市经济开发区新材料产业园内</w:t>
            </w:r>
            <w:r>
              <w:rPr>
                <w:color w:val="auto"/>
              </w:rPr>
              <w:t>，对照</w:t>
            </w:r>
            <w:r>
              <w:rPr>
                <w:rFonts w:hint="eastAsia"/>
                <w:color w:val="auto"/>
                <w:lang w:eastAsia="zh-CN"/>
              </w:rPr>
              <w:t>固原市</w:t>
            </w:r>
            <w:r>
              <w:rPr>
                <w:color w:val="auto"/>
              </w:rPr>
              <w:t>生态保护红线分布图</w:t>
            </w:r>
            <w:r>
              <w:rPr>
                <w:rFonts w:hint="eastAsia"/>
                <w:color w:val="auto"/>
                <w:lang w:eastAsia="zh-CN"/>
              </w:rPr>
              <w:t>（</w:t>
            </w:r>
            <w:r>
              <w:rPr>
                <w:rFonts w:hint="eastAsia"/>
                <w:color w:val="auto"/>
                <w:lang w:val="en-US" w:eastAsia="zh-CN"/>
              </w:rPr>
              <w:t>附</w:t>
            </w:r>
            <w:r>
              <w:rPr>
                <w:color w:val="auto"/>
              </w:rPr>
              <w:t>图1</w:t>
            </w:r>
            <w:r>
              <w:rPr>
                <w:rFonts w:hint="eastAsia"/>
                <w:color w:val="auto"/>
                <w:lang w:eastAsia="zh-CN"/>
              </w:rPr>
              <w:t>）</w:t>
            </w:r>
            <w:r>
              <w:rPr>
                <w:color w:val="auto"/>
              </w:rPr>
              <w:t>，本项目不在</w:t>
            </w:r>
            <w:r>
              <w:rPr>
                <w:rFonts w:hint="eastAsia"/>
                <w:color w:val="auto"/>
                <w:lang w:eastAsia="zh-CN"/>
              </w:rPr>
              <w:t>固原</w:t>
            </w:r>
            <w:r>
              <w:rPr>
                <w:rFonts w:hint="eastAsia"/>
                <w:color w:val="auto"/>
                <w:lang w:val="en-US" w:eastAsia="zh-CN"/>
              </w:rPr>
              <w:t>市</w:t>
            </w:r>
            <w:r>
              <w:rPr>
                <w:color w:val="auto"/>
              </w:rPr>
              <w:t>生态红线范围内。</w:t>
            </w:r>
          </w:p>
          <w:p w14:paraId="470A235C">
            <w:pPr>
              <w:pStyle w:val="23"/>
              <w:bidi w:val="0"/>
              <w:rPr>
                <w:color w:val="auto"/>
              </w:rPr>
            </w:pPr>
            <w:r>
              <w:rPr>
                <w:rFonts w:hint="eastAsia"/>
                <w:color w:val="auto"/>
                <w:lang w:val="en-US" w:eastAsia="zh-CN"/>
              </w:rPr>
              <w:t>（2）</w:t>
            </w:r>
            <w:r>
              <w:rPr>
                <w:color w:val="auto"/>
              </w:rPr>
              <w:t>环境质量底线</w:t>
            </w:r>
          </w:p>
          <w:p w14:paraId="46F7721C">
            <w:pPr>
              <w:pStyle w:val="23"/>
              <w:bidi w:val="0"/>
              <w:rPr>
                <w:color w:val="auto"/>
              </w:rPr>
            </w:pPr>
            <w:r>
              <w:rPr>
                <w:color w:val="auto"/>
              </w:rPr>
              <w:t>①大气环境管控分区</w:t>
            </w:r>
          </w:p>
          <w:p w14:paraId="69E22C53">
            <w:pPr>
              <w:pStyle w:val="23"/>
              <w:bidi w:val="0"/>
              <w:rPr>
                <w:color w:val="auto"/>
              </w:rPr>
            </w:pPr>
            <w:r>
              <w:rPr>
                <w:rFonts w:hint="eastAsia"/>
                <w:color w:val="auto"/>
                <w:highlight w:val="none"/>
              </w:rPr>
              <w:t>本项目位于宁夏固原市经济开发区新材料产业园内，根据宁夏</w:t>
            </w:r>
            <w:r>
              <w:rPr>
                <w:rFonts w:hint="eastAsia"/>
                <w:color w:val="auto"/>
                <w:highlight w:val="none"/>
                <w:lang w:eastAsia="zh-CN"/>
              </w:rPr>
              <w:t>固原市</w:t>
            </w:r>
            <w:r>
              <w:rPr>
                <w:rFonts w:hint="eastAsia"/>
                <w:color w:val="auto"/>
                <w:highlight w:val="none"/>
              </w:rPr>
              <w:t>大气环境分区管控与本项目位置关系图（</w:t>
            </w:r>
            <w:r>
              <w:rPr>
                <w:color w:val="auto"/>
                <w:highlight w:val="none"/>
              </w:rPr>
              <w:t>附图</w:t>
            </w:r>
            <w:r>
              <w:rPr>
                <w:rFonts w:hint="eastAsia"/>
                <w:color w:val="auto"/>
                <w:highlight w:val="none"/>
                <w:lang w:val="en-US" w:eastAsia="zh-CN"/>
              </w:rPr>
              <w:t>2</w:t>
            </w:r>
            <w:r>
              <w:rPr>
                <w:rFonts w:hint="eastAsia"/>
                <w:color w:val="auto"/>
                <w:highlight w:val="none"/>
              </w:rPr>
              <w:t>）可知</w:t>
            </w:r>
            <w:r>
              <w:rPr>
                <w:color w:val="auto"/>
                <w:highlight w:val="none"/>
              </w:rPr>
              <w:t>，本项目位于大气环境</w:t>
            </w:r>
            <w:r>
              <w:rPr>
                <w:rFonts w:hint="eastAsia"/>
                <w:color w:val="auto"/>
                <w:highlight w:val="none"/>
                <w:lang w:eastAsia="zh-CN"/>
              </w:rPr>
              <w:t>高排放</w:t>
            </w:r>
            <w:r>
              <w:rPr>
                <w:rFonts w:hint="eastAsia"/>
                <w:color w:val="auto"/>
                <w:highlight w:val="none"/>
              </w:rPr>
              <w:t>重点</w:t>
            </w:r>
            <w:r>
              <w:rPr>
                <w:color w:val="auto"/>
                <w:highlight w:val="none"/>
              </w:rPr>
              <w:t>管控区。根据大气环境</w:t>
            </w:r>
            <w:r>
              <w:rPr>
                <w:rFonts w:hint="eastAsia"/>
                <w:color w:val="auto"/>
                <w:highlight w:val="none"/>
                <w:lang w:eastAsia="zh-CN"/>
              </w:rPr>
              <w:t>高排放</w:t>
            </w:r>
            <w:r>
              <w:rPr>
                <w:rFonts w:hint="eastAsia"/>
                <w:color w:val="auto"/>
                <w:highlight w:val="none"/>
              </w:rPr>
              <w:t>重点</w:t>
            </w:r>
            <w:r>
              <w:rPr>
                <w:color w:val="auto"/>
                <w:highlight w:val="none"/>
              </w:rPr>
              <w:t>管控区要求：</w:t>
            </w:r>
            <w:r>
              <w:rPr>
                <w:rFonts w:hint="eastAsia"/>
                <w:color w:val="auto"/>
                <w:highlight w:val="none"/>
                <w:lang w:eastAsia="zh-CN"/>
              </w:rPr>
              <w:t>“全面推进工业窑炉淘汰和深度治理，加快推进火电等重点行业排放提标改造，深化挥发性有机物治理。提高工业低碳水平，加快建材、化工等当地传统高耗能行业节能改造和清洁生产。”</w:t>
            </w:r>
            <w:r>
              <w:rPr>
                <w:color w:val="auto"/>
                <w:highlight w:val="none"/>
              </w:rPr>
              <w:t>本</w:t>
            </w:r>
            <w:r>
              <w:rPr>
                <w:color w:val="auto"/>
              </w:rPr>
              <w:t>项目属于</w:t>
            </w:r>
            <w:r>
              <w:rPr>
                <w:rFonts w:hint="default" w:ascii="Times New Roman" w:hAnsi="Times New Roman" w:cs="Times New Roman"/>
                <w:color w:val="auto"/>
                <w:kern w:val="0"/>
                <w:szCs w:val="21"/>
              </w:rPr>
              <w:t>气体充装项目</w:t>
            </w:r>
            <w:r>
              <w:rPr>
                <w:color w:val="auto"/>
              </w:rPr>
              <w:t>。</w:t>
            </w:r>
            <w:r>
              <w:rPr>
                <w:rFonts w:hint="eastAsia"/>
                <w:color w:val="auto"/>
                <w:lang w:val="en-US" w:eastAsia="zh-CN"/>
              </w:rPr>
              <w:t>本项目主要为装卸和分装过程少量逸散的丙烷气体，</w:t>
            </w:r>
            <w:r>
              <w:rPr>
                <w:color w:val="auto"/>
              </w:rPr>
              <w:t>通过</w:t>
            </w:r>
            <w:r>
              <w:rPr>
                <w:rFonts w:hint="eastAsia"/>
                <w:color w:val="auto"/>
                <w:lang w:val="en-US" w:eastAsia="zh-CN"/>
              </w:rPr>
              <w:t>轴流风机加强通风</w:t>
            </w:r>
            <w:r>
              <w:rPr>
                <w:rFonts w:hint="eastAsia"/>
                <w:color w:val="auto"/>
                <w:lang w:eastAsia="zh-CN"/>
              </w:rPr>
              <w:t>、</w:t>
            </w:r>
            <w:r>
              <w:rPr>
                <w:color w:val="auto"/>
              </w:rPr>
              <w:t>设置绿化隔离带</w:t>
            </w:r>
            <w:r>
              <w:rPr>
                <w:rFonts w:hint="default"/>
                <w:color w:val="auto"/>
                <w:lang w:val="en-US" w:eastAsia="zh-CN"/>
              </w:rPr>
              <w:t>等措施</w:t>
            </w:r>
            <w:r>
              <w:rPr>
                <w:rFonts w:hint="eastAsia"/>
                <w:color w:val="auto"/>
                <w:lang w:val="en-US" w:eastAsia="zh-CN"/>
              </w:rPr>
              <w:t>处理后</w:t>
            </w:r>
            <w:r>
              <w:rPr>
                <w:color w:val="auto"/>
              </w:rPr>
              <w:t>，项目废气达到相应污染物排放标准要求，对周边大气环境质量影响较小</w:t>
            </w:r>
            <w:r>
              <w:rPr>
                <w:rFonts w:hint="eastAsia"/>
                <w:color w:val="auto"/>
              </w:rPr>
              <w:t>，</w:t>
            </w:r>
            <w:r>
              <w:rPr>
                <w:color w:val="auto"/>
              </w:rPr>
              <w:t>废气排放满足</w:t>
            </w:r>
            <w:r>
              <w:rPr>
                <w:rFonts w:hint="eastAsia"/>
                <w:color w:val="auto"/>
                <w:lang w:eastAsia="zh-CN"/>
              </w:rPr>
              <w:t>高排放</w:t>
            </w:r>
            <w:r>
              <w:rPr>
                <w:rFonts w:hint="eastAsia"/>
                <w:color w:val="auto"/>
              </w:rPr>
              <w:t>重点</w:t>
            </w:r>
            <w:r>
              <w:rPr>
                <w:color w:val="auto"/>
              </w:rPr>
              <w:t>管控区的生态环境管理要求。</w:t>
            </w:r>
          </w:p>
          <w:p w14:paraId="39A0FF5E">
            <w:pPr>
              <w:pStyle w:val="23"/>
              <w:bidi w:val="0"/>
              <w:rPr>
                <w:color w:val="auto"/>
              </w:rPr>
            </w:pPr>
            <w:r>
              <w:rPr>
                <w:color w:val="auto"/>
              </w:rPr>
              <w:t>②水环境管控分区</w:t>
            </w:r>
          </w:p>
          <w:p w14:paraId="48D1B700">
            <w:pPr>
              <w:pStyle w:val="23"/>
              <w:bidi w:val="0"/>
              <w:rPr>
                <w:rFonts w:hint="eastAsia"/>
                <w:color w:val="auto"/>
                <w:highlight w:val="none"/>
                <w:lang w:eastAsia="zh-CN"/>
              </w:rPr>
            </w:pPr>
            <w:r>
              <w:rPr>
                <w:rFonts w:hint="eastAsia"/>
                <w:color w:val="auto"/>
                <w:highlight w:val="none"/>
              </w:rPr>
              <w:t>本项目位于宁夏固原市经济开发区新材料产业园内，根据宁夏</w:t>
            </w:r>
            <w:r>
              <w:rPr>
                <w:rFonts w:hint="eastAsia"/>
                <w:color w:val="auto"/>
                <w:highlight w:val="none"/>
                <w:lang w:eastAsia="zh-CN"/>
              </w:rPr>
              <w:t>固原</w:t>
            </w:r>
            <w:r>
              <w:rPr>
                <w:rFonts w:hint="eastAsia"/>
                <w:color w:val="auto"/>
                <w:highlight w:val="none"/>
              </w:rPr>
              <w:t>市水环境分区管控与本项目位置关系图（</w:t>
            </w:r>
            <w:r>
              <w:rPr>
                <w:color w:val="auto"/>
                <w:highlight w:val="none"/>
              </w:rPr>
              <w:t>附图</w:t>
            </w:r>
            <w:r>
              <w:rPr>
                <w:rFonts w:hint="eastAsia"/>
                <w:color w:val="auto"/>
                <w:highlight w:val="none"/>
                <w:lang w:val="en-US" w:eastAsia="zh-CN"/>
              </w:rPr>
              <w:t>3</w:t>
            </w:r>
            <w:r>
              <w:rPr>
                <w:rFonts w:hint="eastAsia"/>
                <w:color w:val="auto"/>
                <w:highlight w:val="none"/>
              </w:rPr>
              <w:t>）可知，本</w:t>
            </w:r>
            <w:r>
              <w:rPr>
                <w:color w:val="auto"/>
                <w:highlight w:val="none"/>
              </w:rPr>
              <w:t>项目</w:t>
            </w:r>
            <w:r>
              <w:rPr>
                <w:rFonts w:hint="eastAsia"/>
                <w:color w:val="auto"/>
                <w:highlight w:val="none"/>
              </w:rPr>
              <w:t>位于固原市水环境工业污染重点管控区</w:t>
            </w:r>
            <w:r>
              <w:rPr>
                <w:color w:val="auto"/>
                <w:highlight w:val="none"/>
              </w:rPr>
              <w:t>。根据</w:t>
            </w:r>
            <w:r>
              <w:rPr>
                <w:rFonts w:hint="eastAsia"/>
                <w:color w:val="auto"/>
                <w:highlight w:val="none"/>
              </w:rPr>
              <w:t>固原市水环境工业污染重点管控区</w:t>
            </w:r>
            <w:r>
              <w:rPr>
                <w:color w:val="auto"/>
                <w:highlight w:val="none"/>
              </w:rPr>
              <w:t>管控要求：</w:t>
            </w:r>
            <w:r>
              <w:rPr>
                <w:rFonts w:hint="eastAsia"/>
                <w:color w:val="auto"/>
                <w:highlight w:val="none"/>
                <w:lang w:eastAsia="zh-CN"/>
              </w:rPr>
              <w:t>“排放工业废水的企业应当采取有效措施，收集和处理产生的全部废水，防止污染环境。含有毒有害水污染物的工业废水应当分类收集和处理，不得稀释排放。向污水集中处理设施排放工业废水的，应当按照国家有关规定进行预处理，达到集中处理设施处理工艺要求后方可排放。对严重污染水环境的落后工艺和设备实行淘汰制度。禁止新建不符合国家产业政策的小型造纸、制革、印染、染料、炼焦、炼硫、炼砷、炼汞、炼油、电镀、农药、石棉、水泥、玻璃、钢铁、火电以及其他严重污染水环境的生产项目。新建排放重点水污染物的工业项目应当进入符合相关产业规划的工业集聚区。”</w:t>
            </w:r>
          </w:p>
          <w:p w14:paraId="524F48F2">
            <w:pPr>
              <w:pStyle w:val="23"/>
              <w:bidi w:val="0"/>
              <w:rPr>
                <w:color w:val="auto"/>
              </w:rPr>
            </w:pPr>
            <w:r>
              <w:rPr>
                <w:rFonts w:hint="eastAsia"/>
                <w:color w:val="auto"/>
                <w:highlight w:val="none"/>
              </w:rPr>
              <w:t>本</w:t>
            </w:r>
            <w:r>
              <w:rPr>
                <w:rFonts w:hint="eastAsia"/>
                <w:color w:val="auto"/>
              </w:rPr>
              <w:t>项目属于</w:t>
            </w:r>
            <w:r>
              <w:rPr>
                <w:rFonts w:hint="default" w:ascii="Times New Roman" w:hAnsi="Times New Roman" w:cs="Times New Roman"/>
                <w:color w:val="auto"/>
                <w:kern w:val="0"/>
                <w:szCs w:val="21"/>
              </w:rPr>
              <w:t>气体充装项目</w:t>
            </w:r>
            <w:r>
              <w:rPr>
                <w:rFonts w:hint="eastAsia"/>
                <w:color w:val="auto"/>
              </w:rPr>
              <w:t>，</w:t>
            </w:r>
            <w:r>
              <w:rPr>
                <w:rFonts w:hint="eastAsia"/>
                <w:color w:val="auto"/>
                <w:lang w:val="en-US" w:eastAsia="zh-CN"/>
              </w:rPr>
              <w:t>无工业废水外排</w:t>
            </w:r>
            <w:r>
              <w:rPr>
                <w:color w:val="auto"/>
              </w:rPr>
              <w:t>。</w:t>
            </w:r>
            <w:r>
              <w:rPr>
                <w:rFonts w:hint="eastAsia"/>
                <w:color w:val="auto"/>
              </w:rPr>
              <w:t>因此，不会对区域地表水体造成影响。</w:t>
            </w:r>
          </w:p>
          <w:p w14:paraId="290ED049">
            <w:pPr>
              <w:pStyle w:val="23"/>
              <w:bidi w:val="0"/>
              <w:rPr>
                <w:color w:val="auto"/>
              </w:rPr>
            </w:pPr>
            <w:r>
              <w:rPr>
                <w:color w:val="auto"/>
              </w:rPr>
              <w:t>③土壤污染风险防控底线及分区管控</w:t>
            </w:r>
          </w:p>
          <w:p w14:paraId="762C2B2D">
            <w:pPr>
              <w:pStyle w:val="23"/>
              <w:bidi w:val="0"/>
              <w:rPr>
                <w:color w:val="auto"/>
              </w:rPr>
            </w:pPr>
            <w:r>
              <w:rPr>
                <w:color w:val="auto"/>
                <w:highlight w:val="none"/>
              </w:rPr>
              <w:t>本项目位于</w:t>
            </w:r>
            <w:r>
              <w:rPr>
                <w:rFonts w:hint="eastAsia"/>
                <w:color w:val="auto"/>
                <w:highlight w:val="none"/>
              </w:rPr>
              <w:t>宁夏固原市经济开发区新材料产业园内，</w:t>
            </w:r>
            <w:r>
              <w:rPr>
                <w:color w:val="auto"/>
                <w:highlight w:val="none"/>
              </w:rPr>
              <w:t>根据</w:t>
            </w:r>
            <w:r>
              <w:rPr>
                <w:rFonts w:hint="eastAsia"/>
                <w:color w:val="auto"/>
                <w:highlight w:val="none"/>
                <w:lang w:eastAsia="zh-CN"/>
              </w:rPr>
              <w:t>固原</w:t>
            </w:r>
            <w:r>
              <w:rPr>
                <w:color w:val="auto"/>
                <w:highlight w:val="none"/>
              </w:rPr>
              <w:t>市</w:t>
            </w:r>
            <w:r>
              <w:rPr>
                <w:rFonts w:hint="eastAsia"/>
                <w:color w:val="auto"/>
                <w:highlight w:val="none"/>
              </w:rPr>
              <w:t>土壤污染风险</w:t>
            </w:r>
            <w:r>
              <w:rPr>
                <w:color w:val="auto"/>
                <w:highlight w:val="none"/>
              </w:rPr>
              <w:t>分区管控</w:t>
            </w:r>
            <w:r>
              <w:rPr>
                <w:rFonts w:hint="eastAsia"/>
                <w:color w:val="auto"/>
                <w:highlight w:val="none"/>
              </w:rPr>
              <w:t>与本</w:t>
            </w:r>
            <w:r>
              <w:rPr>
                <w:color w:val="auto"/>
                <w:highlight w:val="none"/>
              </w:rPr>
              <w:t>项目位置</w:t>
            </w:r>
            <w:r>
              <w:rPr>
                <w:rFonts w:hint="eastAsia"/>
                <w:color w:val="auto"/>
                <w:highlight w:val="none"/>
              </w:rPr>
              <w:t>关系图（</w:t>
            </w:r>
            <w:r>
              <w:rPr>
                <w:color w:val="auto"/>
                <w:highlight w:val="none"/>
              </w:rPr>
              <w:t>附图</w:t>
            </w:r>
            <w:r>
              <w:rPr>
                <w:rFonts w:hint="eastAsia"/>
                <w:color w:val="auto"/>
                <w:highlight w:val="none"/>
                <w:lang w:val="en-US" w:eastAsia="zh-CN"/>
              </w:rPr>
              <w:t>4</w:t>
            </w:r>
            <w:r>
              <w:rPr>
                <w:rFonts w:hint="eastAsia"/>
                <w:color w:val="auto"/>
                <w:highlight w:val="none"/>
              </w:rPr>
              <w:t>）</w:t>
            </w:r>
            <w:r>
              <w:rPr>
                <w:color w:val="auto"/>
                <w:highlight w:val="none"/>
              </w:rPr>
              <w:t>可知，本项目位于土壤环境一般管控区。根据土壤环境分区管控要求：</w:t>
            </w:r>
            <w:r>
              <w:rPr>
                <w:rFonts w:hint="eastAsia"/>
                <w:color w:val="auto"/>
                <w:highlight w:val="none"/>
                <w:lang w:eastAsia="zh-CN"/>
              </w:rPr>
              <w:t>“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r>
              <w:rPr>
                <w:color w:val="auto"/>
              </w:rPr>
              <w:t>本项目属于</w:t>
            </w:r>
            <w:r>
              <w:rPr>
                <w:rFonts w:hint="default" w:ascii="Times New Roman" w:hAnsi="Times New Roman" w:cs="Times New Roman"/>
                <w:color w:val="auto"/>
                <w:kern w:val="0"/>
                <w:szCs w:val="21"/>
              </w:rPr>
              <w:t>气体充装项目</w:t>
            </w:r>
            <w:r>
              <w:rPr>
                <w:color w:val="auto"/>
              </w:rPr>
              <w:t>，不排放土壤重点污染物；项目周边无有色金属冶炼、焦化等行业企业，外环境对本项目土壤环境影响较小。故符合土壤环境一般管控区要求。</w:t>
            </w:r>
          </w:p>
          <w:p w14:paraId="0D2755F5">
            <w:pPr>
              <w:pStyle w:val="23"/>
              <w:bidi w:val="0"/>
              <w:rPr>
                <w:color w:val="auto"/>
              </w:rPr>
            </w:pPr>
            <w:r>
              <w:rPr>
                <w:color w:val="auto"/>
              </w:rPr>
              <w:t>本项目属于</w:t>
            </w:r>
            <w:r>
              <w:rPr>
                <w:rFonts w:hint="eastAsia" w:ascii="Times New Roman" w:hAnsi="Times New Roman" w:cs="Times New Roman"/>
                <w:color w:val="auto"/>
                <w:kern w:val="0"/>
                <w:szCs w:val="21"/>
                <w:lang w:eastAsia="zh-CN"/>
              </w:rPr>
              <w:t>气体充装项目</w:t>
            </w:r>
            <w:r>
              <w:rPr>
                <w:color w:val="auto"/>
              </w:rPr>
              <w:t>。项目施工期</w:t>
            </w:r>
            <w:r>
              <w:rPr>
                <w:rFonts w:hint="eastAsia"/>
                <w:color w:val="auto"/>
                <w:lang w:eastAsia="zh-CN"/>
              </w:rPr>
              <w:t>、</w:t>
            </w:r>
            <w:r>
              <w:rPr>
                <w:color w:val="auto"/>
              </w:rPr>
              <w:t>运营期采取各项污染防治措施后，排放的废气、废水、固废以及噪声对周围环境影响较小，因此，项目投入运营后不会降低当地环境质量</w:t>
            </w:r>
            <w:r>
              <w:rPr>
                <w:rFonts w:hint="eastAsia"/>
                <w:color w:val="auto"/>
                <w:lang w:eastAsia="zh-CN"/>
              </w:rPr>
              <w:t>。</w:t>
            </w:r>
            <w:r>
              <w:rPr>
                <w:color w:val="auto"/>
              </w:rPr>
              <w:t>综上所述，项目的建设符合环境质量底线的要求。</w:t>
            </w:r>
          </w:p>
          <w:p w14:paraId="0B9E4D3B">
            <w:pPr>
              <w:pStyle w:val="23"/>
              <w:bidi w:val="0"/>
              <w:rPr>
                <w:color w:val="auto"/>
              </w:rPr>
            </w:pPr>
            <w:r>
              <w:rPr>
                <w:rFonts w:hint="eastAsia"/>
                <w:color w:val="auto"/>
                <w:lang w:val="en-US" w:eastAsia="zh-CN"/>
              </w:rPr>
              <w:t>（3）</w:t>
            </w:r>
            <w:r>
              <w:rPr>
                <w:color w:val="auto"/>
              </w:rPr>
              <w:t>资源利用上线</w:t>
            </w:r>
          </w:p>
          <w:p w14:paraId="083244E1">
            <w:pPr>
              <w:pStyle w:val="23"/>
              <w:bidi w:val="0"/>
              <w:rPr>
                <w:rFonts w:hint="eastAsia" w:eastAsia="宋体"/>
                <w:color w:val="auto"/>
                <w:highlight w:val="none"/>
                <w:lang w:val="en-US" w:eastAsia="zh-CN"/>
              </w:rPr>
            </w:pPr>
            <w:r>
              <w:rPr>
                <w:rFonts w:hint="eastAsia"/>
                <w:color w:val="auto"/>
                <w:highlight w:val="none"/>
                <w:lang w:val="en-US" w:eastAsia="zh-CN"/>
              </w:rPr>
              <w:t>①能源（煤炭）资源利用上线及分区管控</w:t>
            </w:r>
          </w:p>
          <w:p w14:paraId="192D01F3">
            <w:pPr>
              <w:pStyle w:val="23"/>
              <w:bidi w:val="0"/>
              <w:rPr>
                <w:rFonts w:hint="eastAsia"/>
                <w:color w:val="auto"/>
                <w:highlight w:val="none"/>
                <w:lang w:eastAsia="zh-CN"/>
              </w:rPr>
            </w:pPr>
            <w:r>
              <w:rPr>
                <w:color w:val="auto"/>
                <w:highlight w:val="none"/>
              </w:rPr>
              <w:t>本项目位于</w:t>
            </w:r>
            <w:r>
              <w:rPr>
                <w:rFonts w:hint="eastAsia"/>
                <w:color w:val="auto"/>
                <w:highlight w:val="none"/>
              </w:rPr>
              <w:t>宁夏固原市经济开发区新材料产业园内，</w:t>
            </w:r>
            <w:r>
              <w:rPr>
                <w:color w:val="auto"/>
                <w:highlight w:val="none"/>
              </w:rPr>
              <w:t>根据</w:t>
            </w:r>
            <w:r>
              <w:rPr>
                <w:rFonts w:hint="eastAsia"/>
                <w:color w:val="auto"/>
                <w:highlight w:val="none"/>
                <w:lang w:eastAsia="zh-CN"/>
              </w:rPr>
              <w:t>固原</w:t>
            </w:r>
            <w:r>
              <w:rPr>
                <w:color w:val="auto"/>
                <w:highlight w:val="none"/>
              </w:rPr>
              <w:t>市</w:t>
            </w:r>
            <w:r>
              <w:rPr>
                <w:rFonts w:hint="eastAsia"/>
                <w:color w:val="auto"/>
                <w:highlight w:val="none"/>
              </w:rPr>
              <w:t>高污染燃料禁燃</w:t>
            </w:r>
            <w:r>
              <w:rPr>
                <w:rFonts w:hint="eastAsia"/>
                <w:color w:val="auto"/>
                <w:highlight w:val="none"/>
                <w:lang w:val="en-US" w:eastAsia="zh-CN"/>
              </w:rPr>
              <w:t>重点管控区</w:t>
            </w:r>
            <w:r>
              <w:rPr>
                <w:rFonts w:hint="eastAsia"/>
                <w:color w:val="auto"/>
                <w:highlight w:val="none"/>
              </w:rPr>
              <w:t>与本</w:t>
            </w:r>
            <w:r>
              <w:rPr>
                <w:color w:val="auto"/>
                <w:highlight w:val="none"/>
              </w:rPr>
              <w:t>项目位置</w:t>
            </w:r>
            <w:r>
              <w:rPr>
                <w:rFonts w:hint="eastAsia"/>
                <w:color w:val="auto"/>
                <w:highlight w:val="none"/>
              </w:rPr>
              <w:t>关系图（</w:t>
            </w:r>
            <w:r>
              <w:rPr>
                <w:color w:val="auto"/>
                <w:highlight w:val="none"/>
              </w:rPr>
              <w:t>附图</w:t>
            </w:r>
            <w:r>
              <w:rPr>
                <w:rFonts w:hint="eastAsia"/>
                <w:color w:val="auto"/>
                <w:highlight w:val="none"/>
                <w:lang w:val="en-US" w:eastAsia="zh-CN"/>
              </w:rPr>
              <w:t>5</w:t>
            </w:r>
            <w:r>
              <w:rPr>
                <w:rFonts w:hint="eastAsia"/>
                <w:color w:val="auto"/>
                <w:highlight w:val="none"/>
              </w:rPr>
              <w:t>）</w:t>
            </w:r>
            <w:r>
              <w:rPr>
                <w:color w:val="auto"/>
                <w:highlight w:val="none"/>
              </w:rPr>
              <w:t>可知，本项目位于</w:t>
            </w:r>
            <w:r>
              <w:rPr>
                <w:rFonts w:hint="eastAsia"/>
                <w:color w:val="auto"/>
                <w:highlight w:val="none"/>
                <w:lang w:val="en-US" w:eastAsia="zh-CN"/>
              </w:rPr>
              <w:t>高污染禁燃区</w:t>
            </w:r>
            <w:r>
              <w:rPr>
                <w:color w:val="auto"/>
                <w:highlight w:val="none"/>
              </w:rPr>
              <w:t>。根据</w:t>
            </w:r>
            <w:r>
              <w:rPr>
                <w:rFonts w:hint="eastAsia"/>
                <w:color w:val="auto"/>
                <w:highlight w:val="none"/>
                <w:lang w:val="en-US" w:eastAsia="zh-CN"/>
              </w:rPr>
              <w:t>高污染禁燃区</w:t>
            </w:r>
            <w:r>
              <w:rPr>
                <w:color w:val="auto"/>
                <w:highlight w:val="none"/>
              </w:rPr>
              <w:t>管控要求：</w:t>
            </w:r>
            <w:r>
              <w:rPr>
                <w:rFonts w:hint="eastAsia"/>
                <w:color w:val="auto"/>
                <w:highlight w:val="none"/>
                <w:lang w:eastAsia="zh-CN"/>
              </w:rPr>
              <w:t>“高污染燃料限制使用区禁止经营、使用含硫量大于0.5%、灰分大于10%的煤炭及其制品；禁止燃用石油焦、油页岩、原油、重油、渣油、煤焦油燃料。”</w:t>
            </w:r>
          </w:p>
          <w:p w14:paraId="36CB048B">
            <w:pPr>
              <w:pStyle w:val="23"/>
              <w:bidi w:val="0"/>
              <w:rPr>
                <w:color w:val="auto"/>
              </w:rPr>
            </w:pPr>
            <w:r>
              <w:rPr>
                <w:color w:val="auto"/>
              </w:rPr>
              <w:t>本项目属于</w:t>
            </w:r>
            <w:r>
              <w:rPr>
                <w:rFonts w:hint="default" w:ascii="Times New Roman" w:hAnsi="Times New Roman" w:cs="Times New Roman"/>
                <w:color w:val="auto"/>
                <w:kern w:val="0"/>
                <w:szCs w:val="21"/>
              </w:rPr>
              <w:t>气体充装项目</w:t>
            </w:r>
            <w:r>
              <w:rPr>
                <w:color w:val="auto"/>
              </w:rPr>
              <w:t>，</w:t>
            </w:r>
            <w:r>
              <w:rPr>
                <w:rFonts w:hint="eastAsia"/>
                <w:color w:val="auto"/>
                <w:lang w:val="en-US" w:eastAsia="zh-CN"/>
              </w:rPr>
              <w:t>不涉及燃料燃烧</w:t>
            </w:r>
            <w:r>
              <w:rPr>
                <w:color w:val="auto"/>
              </w:rPr>
              <w:t>。故符合</w:t>
            </w:r>
            <w:r>
              <w:rPr>
                <w:rFonts w:hint="eastAsia"/>
                <w:color w:val="auto"/>
                <w:lang w:val="en-US" w:eastAsia="zh-CN"/>
              </w:rPr>
              <w:t>能源</w:t>
            </w:r>
            <w:r>
              <w:rPr>
                <w:color w:val="auto"/>
              </w:rPr>
              <w:t>资源利用上线</w:t>
            </w:r>
            <w:r>
              <w:rPr>
                <w:rFonts w:hint="eastAsia"/>
                <w:color w:val="auto"/>
                <w:lang w:val="en-US" w:eastAsia="zh-CN"/>
              </w:rPr>
              <w:t>及分区管控要求</w:t>
            </w:r>
            <w:r>
              <w:rPr>
                <w:color w:val="auto"/>
              </w:rPr>
              <w:t>。</w:t>
            </w:r>
          </w:p>
          <w:p w14:paraId="63E446DF">
            <w:pPr>
              <w:pStyle w:val="23"/>
              <w:bidi w:val="0"/>
              <w:rPr>
                <w:rFonts w:hint="eastAsia" w:eastAsia="宋体"/>
                <w:color w:val="auto"/>
                <w:highlight w:val="none"/>
                <w:lang w:val="en-US" w:eastAsia="zh-CN"/>
              </w:rPr>
            </w:pPr>
            <w:r>
              <w:rPr>
                <w:rFonts w:hint="eastAsia"/>
                <w:color w:val="auto"/>
                <w:highlight w:val="none"/>
                <w:lang w:val="en-US" w:eastAsia="zh-CN"/>
              </w:rPr>
              <w:t>②水资源利用上线及分区管控</w:t>
            </w:r>
          </w:p>
          <w:p w14:paraId="1FE19F4D">
            <w:pPr>
              <w:pStyle w:val="23"/>
              <w:bidi w:val="0"/>
              <w:rPr>
                <w:rFonts w:hint="eastAsia"/>
                <w:color w:val="auto"/>
              </w:rPr>
            </w:pPr>
            <w:r>
              <w:rPr>
                <w:rFonts w:hint="eastAsia"/>
                <w:color w:val="auto"/>
              </w:rPr>
              <w:t>水资源：本项目用水主要为市政供水管网，营运期水资源的用量占区域的资源量很小，不会影响水资源利用上线。</w:t>
            </w:r>
          </w:p>
          <w:p w14:paraId="392FC6D4">
            <w:pPr>
              <w:pStyle w:val="23"/>
              <w:bidi w:val="0"/>
              <w:rPr>
                <w:rFonts w:hint="eastAsia"/>
                <w:color w:val="auto"/>
              </w:rPr>
            </w:pPr>
            <w:r>
              <w:rPr>
                <w:rFonts w:hint="eastAsia"/>
                <w:color w:val="auto"/>
              </w:rPr>
              <w:t>③土壤资源利用上线及分区管控</w:t>
            </w:r>
          </w:p>
          <w:p w14:paraId="0A6E8DF0">
            <w:pPr>
              <w:pStyle w:val="23"/>
              <w:bidi w:val="0"/>
              <w:rPr>
                <w:rFonts w:hint="eastAsia"/>
                <w:color w:val="auto"/>
              </w:rPr>
            </w:pPr>
            <w:r>
              <w:rPr>
                <w:rFonts w:hint="eastAsia"/>
                <w:color w:val="auto"/>
              </w:rPr>
              <w:t>本项目建设地点位于固原市原州区，</w:t>
            </w:r>
            <w:r>
              <w:rPr>
                <w:color w:val="auto"/>
                <w:highlight w:val="none"/>
              </w:rPr>
              <w:t>根据</w:t>
            </w:r>
            <w:r>
              <w:rPr>
                <w:rFonts w:hint="eastAsia"/>
                <w:color w:val="auto"/>
                <w:highlight w:val="none"/>
                <w:lang w:eastAsia="zh-CN"/>
              </w:rPr>
              <w:t>固原</w:t>
            </w:r>
            <w:r>
              <w:rPr>
                <w:color w:val="auto"/>
                <w:highlight w:val="none"/>
              </w:rPr>
              <w:t>市</w:t>
            </w:r>
            <w:r>
              <w:rPr>
                <w:rFonts w:hint="eastAsia"/>
                <w:color w:val="auto"/>
                <w:highlight w:val="none"/>
                <w:lang w:val="en-US" w:eastAsia="zh-CN"/>
              </w:rPr>
              <w:t>土地资源重点管控区域</w:t>
            </w:r>
            <w:r>
              <w:rPr>
                <w:rFonts w:hint="eastAsia"/>
                <w:color w:val="auto"/>
                <w:highlight w:val="none"/>
              </w:rPr>
              <w:t>与本</w:t>
            </w:r>
            <w:r>
              <w:rPr>
                <w:color w:val="auto"/>
                <w:highlight w:val="none"/>
              </w:rPr>
              <w:t>项目位置</w:t>
            </w:r>
            <w:r>
              <w:rPr>
                <w:rFonts w:hint="eastAsia"/>
                <w:color w:val="auto"/>
                <w:highlight w:val="none"/>
              </w:rPr>
              <w:t>关系图（</w:t>
            </w:r>
            <w:r>
              <w:rPr>
                <w:color w:val="auto"/>
                <w:highlight w:val="none"/>
              </w:rPr>
              <w:t>附图</w:t>
            </w:r>
            <w:r>
              <w:rPr>
                <w:rFonts w:hint="eastAsia"/>
                <w:color w:val="auto"/>
                <w:highlight w:val="none"/>
                <w:lang w:val="en-US" w:eastAsia="zh-CN"/>
              </w:rPr>
              <w:t>6</w:t>
            </w:r>
            <w:r>
              <w:rPr>
                <w:rFonts w:hint="eastAsia"/>
                <w:color w:val="auto"/>
                <w:highlight w:val="none"/>
              </w:rPr>
              <w:t>）</w:t>
            </w:r>
            <w:r>
              <w:rPr>
                <w:color w:val="auto"/>
                <w:highlight w:val="none"/>
              </w:rPr>
              <w:t>可知，</w:t>
            </w:r>
            <w:r>
              <w:rPr>
                <w:rFonts w:hint="eastAsia"/>
                <w:color w:val="auto"/>
                <w:highlight w:val="none"/>
                <w:lang w:val="en-US" w:eastAsia="zh-CN"/>
              </w:rPr>
              <w:t>本项目位于固原市土地资源重点管控区域。</w:t>
            </w:r>
            <w:r>
              <w:rPr>
                <w:rFonts w:hint="eastAsia"/>
                <w:color w:val="auto"/>
              </w:rPr>
              <w:t>本项目建设地点位于固原市原州区，综合考虑生态保护红线、永久基本农田等保护区域的面积，可开发利用土地资源的存量，以及土地资源的集约利用水平等因素，评价各区县在土地资源开发利用与生态环境保护方面的潜在矛盾程度</w:t>
            </w:r>
            <w:r>
              <w:rPr>
                <w:rFonts w:hint="eastAsia"/>
                <w:color w:val="auto"/>
                <w:lang w:eastAsia="zh-CN"/>
              </w:rPr>
              <w:t>，</w:t>
            </w:r>
            <w:r>
              <w:rPr>
                <w:rFonts w:hint="eastAsia"/>
                <w:color w:val="auto"/>
              </w:rPr>
              <w:t>不会突破固原市土地资源利用上线。</w:t>
            </w:r>
          </w:p>
          <w:p w14:paraId="15A54F46">
            <w:pPr>
              <w:pStyle w:val="23"/>
              <w:bidi w:val="0"/>
              <w:rPr>
                <w:color w:val="auto"/>
              </w:rPr>
            </w:pPr>
            <w:r>
              <w:rPr>
                <w:rFonts w:hint="eastAsia"/>
                <w:color w:val="auto"/>
                <w:lang w:val="en-US" w:eastAsia="zh-CN"/>
              </w:rPr>
              <w:t>（4）环境管控单元与生态环境准入清单</w:t>
            </w:r>
          </w:p>
          <w:p w14:paraId="66E2BDCB">
            <w:pPr>
              <w:pStyle w:val="23"/>
              <w:bidi w:val="0"/>
              <w:rPr>
                <w:color w:val="auto"/>
              </w:rPr>
            </w:pPr>
            <w:r>
              <w:rPr>
                <w:rFonts w:hint="eastAsia"/>
                <w:color w:val="auto"/>
              </w:rPr>
              <w:t>对照</w:t>
            </w:r>
            <w:r>
              <w:rPr>
                <w:rFonts w:hint="eastAsia"/>
                <w:color w:val="auto"/>
                <w:lang w:eastAsia="zh-CN"/>
              </w:rPr>
              <w:t>固原</w:t>
            </w:r>
            <w:r>
              <w:rPr>
                <w:rFonts w:hint="eastAsia"/>
                <w:color w:val="auto"/>
              </w:rPr>
              <w:t>市环境</w:t>
            </w:r>
            <w:r>
              <w:rPr>
                <w:rFonts w:hint="eastAsia"/>
                <w:color w:val="auto"/>
                <w:lang w:eastAsia="zh-CN"/>
              </w:rPr>
              <w:t>管控</w:t>
            </w:r>
            <w:r>
              <w:rPr>
                <w:rFonts w:hint="eastAsia"/>
                <w:color w:val="auto"/>
              </w:rPr>
              <w:t>单元分布与本项目位置关系图（附图</w:t>
            </w:r>
            <w:r>
              <w:rPr>
                <w:rFonts w:hint="eastAsia"/>
                <w:color w:val="auto"/>
                <w:lang w:val="en-US" w:eastAsia="zh-CN"/>
              </w:rPr>
              <w:t>7</w:t>
            </w:r>
            <w:r>
              <w:rPr>
                <w:rFonts w:hint="eastAsia"/>
                <w:color w:val="auto"/>
              </w:rPr>
              <w:t>），本项目所在位置属于重点管控单元。重点管控单元：在扣除优先保护单元的基础上，将水环境重点管控区、大气环境重点管控区、禁燃区、地下水开采等重点管控区等与行政区划、工业园区边界等进行空间叠加拟合，形成重点管控单元。重点管控单元总体上以守住环境质量底线、控制资源利用上线、积极发展社会经济为导向，实施污染防治、生态环境修复治理和差异化的环境准入。</w:t>
            </w:r>
          </w:p>
          <w:p w14:paraId="3CA61AD3">
            <w:pPr>
              <w:pStyle w:val="23"/>
              <w:bidi w:val="0"/>
              <w:rPr>
                <w:color w:val="auto"/>
              </w:rPr>
            </w:pPr>
            <w:r>
              <w:rPr>
                <w:rFonts w:hint="eastAsia"/>
                <w:color w:val="auto"/>
              </w:rPr>
              <w:t>本项目为</w:t>
            </w:r>
            <w:r>
              <w:rPr>
                <w:rFonts w:hint="eastAsia" w:ascii="Times New Roman" w:hAnsi="Times New Roman" w:cs="Times New Roman"/>
                <w:color w:val="auto"/>
                <w:kern w:val="0"/>
                <w:szCs w:val="21"/>
                <w:lang w:eastAsia="zh-CN"/>
              </w:rPr>
              <w:t>气体充装项目</w:t>
            </w:r>
            <w:r>
              <w:rPr>
                <w:rFonts w:hint="eastAsia"/>
                <w:color w:val="auto"/>
              </w:rPr>
              <w:t>，项目废气、噪声经采取相应治理措施后均可达标排放或综合利用，项目产生的固废均可合理处置，可以满足区域生态环境保护的基本要求。因此，符合生态环境分区管控中重点管控要求。</w:t>
            </w:r>
          </w:p>
          <w:p w14:paraId="2AB9B81D">
            <w:pPr>
              <w:pStyle w:val="23"/>
              <w:bidi w:val="0"/>
              <w:rPr>
                <w:rFonts w:hint="eastAsia"/>
                <w:color w:val="auto"/>
              </w:rPr>
            </w:pPr>
            <w:r>
              <w:rPr>
                <w:color w:val="auto"/>
              </w:rPr>
              <w:t>对照本项目位置</w:t>
            </w:r>
            <w:r>
              <w:rPr>
                <w:rFonts w:hint="eastAsia"/>
                <w:color w:val="auto"/>
                <w:lang w:eastAsia="zh-CN"/>
              </w:rPr>
              <w:t>、《固原</w:t>
            </w:r>
            <w:r>
              <w:rPr>
                <w:color w:val="auto"/>
              </w:rPr>
              <w:t>市生态环境</w:t>
            </w:r>
            <w:r>
              <w:rPr>
                <w:rFonts w:hint="eastAsia"/>
                <w:color w:val="auto"/>
                <w:lang w:val="en-US" w:eastAsia="zh-CN"/>
              </w:rPr>
              <w:t>总体</w:t>
            </w:r>
            <w:r>
              <w:rPr>
                <w:color w:val="auto"/>
              </w:rPr>
              <w:t>准入清单</w:t>
            </w:r>
            <w:r>
              <w:rPr>
                <w:rFonts w:hint="eastAsia"/>
                <w:color w:val="auto"/>
                <w:lang w:eastAsia="zh-CN"/>
              </w:rPr>
              <w:t>》</w:t>
            </w:r>
            <w:r>
              <w:rPr>
                <w:color w:val="auto"/>
              </w:rPr>
              <w:t>，本项目所在区域生态环境准入清单见表1-</w:t>
            </w:r>
            <w:r>
              <w:rPr>
                <w:rFonts w:hint="eastAsia"/>
                <w:color w:val="auto"/>
                <w:lang w:val="en-US" w:eastAsia="zh-CN"/>
              </w:rPr>
              <w:t>1</w:t>
            </w:r>
            <w:r>
              <w:rPr>
                <w:color w:val="auto"/>
              </w:rPr>
              <w:t>所示</w:t>
            </w:r>
            <w:r>
              <w:rPr>
                <w:rFonts w:hint="eastAsia"/>
                <w:color w:val="auto"/>
                <w:lang w:eastAsia="zh-CN"/>
              </w:rPr>
              <w:t>，</w:t>
            </w:r>
            <w:r>
              <w:rPr>
                <w:color w:val="auto"/>
                <w:sz w:val="24"/>
                <w:szCs w:val="24"/>
                <w:highlight w:val="none"/>
              </w:rPr>
              <w:t>本项目</w:t>
            </w:r>
            <w:r>
              <w:rPr>
                <w:rFonts w:hint="eastAsia" w:ascii="宋体" w:hAnsi="宋体" w:cs="宋体"/>
                <w:color w:val="auto"/>
                <w:sz w:val="24"/>
                <w:szCs w:val="24"/>
                <w:highlight w:val="none"/>
              </w:rPr>
              <w:t>与原州区宁夏固原经济开发区重点管控单元</w:t>
            </w:r>
            <w:r>
              <w:rPr>
                <w:bCs/>
                <w:color w:val="auto"/>
                <w:sz w:val="24"/>
                <w:szCs w:val="24"/>
                <w:highlight w:val="none"/>
              </w:rPr>
              <w:t>中的相关要求符合性分析见表</w:t>
            </w:r>
            <w:r>
              <w:rPr>
                <w:rFonts w:hint="eastAsia"/>
                <w:bCs/>
                <w:color w:val="auto"/>
                <w:sz w:val="24"/>
                <w:szCs w:val="24"/>
                <w:highlight w:val="none"/>
              </w:rPr>
              <w:t>1-</w:t>
            </w:r>
            <w:r>
              <w:rPr>
                <w:rFonts w:hint="eastAsia"/>
                <w:bCs/>
                <w:color w:val="auto"/>
                <w:sz w:val="24"/>
                <w:szCs w:val="24"/>
                <w:highlight w:val="none"/>
                <w:lang w:val="en-US" w:eastAsia="zh-CN"/>
              </w:rPr>
              <w:t>2</w:t>
            </w:r>
            <w:r>
              <w:rPr>
                <w:color w:val="auto"/>
              </w:rPr>
              <w:t>。</w:t>
            </w:r>
          </w:p>
          <w:p w14:paraId="07502B62">
            <w:pPr>
              <w:pStyle w:val="25"/>
              <w:bidi w:val="0"/>
              <w:rPr>
                <w:rFonts w:hint="default"/>
                <w:color w:val="auto"/>
              </w:rPr>
            </w:pPr>
            <w:r>
              <w:rPr>
                <w:rFonts w:hint="default"/>
                <w:color w:val="auto"/>
              </w:rPr>
              <w:t>表</w:t>
            </w:r>
            <w:r>
              <w:rPr>
                <w:rFonts w:hint="eastAsia"/>
                <w:color w:val="auto"/>
                <w:lang w:val="en-US" w:eastAsia="zh-CN"/>
              </w:rPr>
              <w:t>1-1</w:t>
            </w:r>
            <w:r>
              <w:rPr>
                <w:rFonts w:hint="default"/>
                <w:color w:val="auto"/>
              </w:rPr>
              <w:t xml:space="preserve">  </w:t>
            </w:r>
            <w:r>
              <w:rPr>
                <w:rFonts w:hint="eastAsia"/>
                <w:color w:val="auto"/>
                <w:lang w:val="en-US" w:eastAsia="zh-CN"/>
              </w:rPr>
              <w:t xml:space="preserve">     </w:t>
            </w:r>
            <w:r>
              <w:rPr>
                <w:rFonts w:hint="default"/>
                <w:color w:val="auto"/>
              </w:rPr>
              <w:t xml:space="preserve"> </w:t>
            </w:r>
            <w:r>
              <w:rPr>
                <w:rFonts w:hint="eastAsia"/>
                <w:color w:val="auto"/>
                <w:lang w:val="en-US" w:eastAsia="zh-CN"/>
              </w:rPr>
              <w:t>固原市</w:t>
            </w:r>
            <w:r>
              <w:rPr>
                <w:rFonts w:hint="default"/>
                <w:color w:val="auto"/>
              </w:rPr>
              <w:t>生态环境</w:t>
            </w:r>
            <w:r>
              <w:rPr>
                <w:rFonts w:hint="eastAsia"/>
                <w:color w:val="auto"/>
                <w:lang w:val="en-US" w:eastAsia="zh-CN"/>
              </w:rPr>
              <w:t>总体</w:t>
            </w:r>
            <w:r>
              <w:rPr>
                <w:rFonts w:hint="default"/>
                <w:color w:val="auto"/>
              </w:rPr>
              <w:t>准入</w:t>
            </w:r>
            <w:r>
              <w:rPr>
                <w:rFonts w:hint="eastAsia"/>
                <w:color w:val="auto"/>
                <w:lang w:eastAsia="zh-CN"/>
              </w:rPr>
              <w:t>负面</w:t>
            </w:r>
            <w:r>
              <w:rPr>
                <w:rFonts w:hint="default"/>
                <w:color w:val="auto"/>
              </w:rPr>
              <w:t>清单</w:t>
            </w:r>
          </w:p>
          <w:tbl>
            <w:tblPr>
              <w:tblStyle w:val="1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28" w:type="dxa"/>
                <w:left w:w="57" w:type="dxa"/>
                <w:bottom w:w="28" w:type="dxa"/>
                <w:right w:w="57" w:type="dxa"/>
              </w:tblCellMar>
            </w:tblPr>
            <w:tblGrid>
              <w:gridCol w:w="451"/>
              <w:gridCol w:w="721"/>
              <w:gridCol w:w="3553"/>
              <w:gridCol w:w="2034"/>
              <w:gridCol w:w="404"/>
            </w:tblGrid>
            <w:tr w14:paraId="3C5849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818" w:type="pct"/>
                  <w:gridSpan w:val="2"/>
                  <w:noWrap w:val="0"/>
                  <w:vAlign w:val="center"/>
                </w:tcPr>
                <w:p w14:paraId="1D3B0D3E">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管控维度</w:t>
                  </w:r>
                </w:p>
              </w:tc>
              <w:tc>
                <w:tcPr>
                  <w:tcW w:w="2479" w:type="pct"/>
                  <w:noWrap w:val="0"/>
                  <w:vAlign w:val="center"/>
                </w:tcPr>
                <w:p w14:paraId="64F20BCD">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管控要求</w:t>
                  </w:r>
                </w:p>
              </w:tc>
              <w:tc>
                <w:tcPr>
                  <w:tcW w:w="1419" w:type="pct"/>
                  <w:noWrap w:val="0"/>
                  <w:vAlign w:val="center"/>
                </w:tcPr>
                <w:p w14:paraId="51FAEB4E">
                  <w:pPr>
                    <w:pStyle w:val="24"/>
                    <w:bidi w:val="0"/>
                    <w:jc w:val="center"/>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本项目</w:t>
                  </w:r>
                </w:p>
              </w:tc>
              <w:tc>
                <w:tcPr>
                  <w:tcW w:w="282" w:type="pct"/>
                  <w:noWrap w:val="0"/>
                  <w:vAlign w:val="center"/>
                </w:tcPr>
                <w:p w14:paraId="3FA4D00A">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14:paraId="374D2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restart"/>
                  <w:noWrap w:val="0"/>
                  <w:vAlign w:val="center"/>
                </w:tcPr>
                <w:p w14:paraId="478799DE">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A1空间布局约束</w:t>
                  </w:r>
                </w:p>
              </w:tc>
              <w:tc>
                <w:tcPr>
                  <w:tcW w:w="503" w:type="pct"/>
                  <w:noWrap w:val="0"/>
                  <w:vAlign w:val="center"/>
                </w:tcPr>
                <w:p w14:paraId="7C5C1EFB">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A1.1</w:t>
                  </w:r>
                </w:p>
                <w:p w14:paraId="5C9124AE">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禁止开发建设活动的要求</w:t>
                  </w:r>
                </w:p>
              </w:tc>
              <w:tc>
                <w:tcPr>
                  <w:tcW w:w="2479" w:type="pct"/>
                  <w:noWrap w:val="0"/>
                  <w:vAlign w:val="center"/>
                </w:tcPr>
                <w:p w14:paraId="4578E448">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严禁产能过剩行业新增产能，各开发区主导产业产值占比达到60%以上，严防发达地区淘汰退出的高污染企业落户固原。</w:t>
                  </w:r>
                </w:p>
                <w:p w14:paraId="45BDF7AD">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r>
                    <w:rPr>
                      <w:rFonts w:ascii="Times New Roman" w:hAnsi="Times New Roman" w:eastAsia="宋体" w:cs="Times New Roman"/>
                      <w:b w:val="0"/>
                      <w:bCs w:val="0"/>
                      <w:color w:val="auto"/>
                    </w:rPr>
                    <w:t>严禁在</w:t>
                  </w:r>
                  <w:r>
                    <w:rPr>
                      <w:rFonts w:hint="eastAsia" w:ascii="Times New Roman" w:hAnsi="Times New Roman" w:eastAsia="宋体" w:cs="Times New Roman"/>
                      <w:b w:val="0"/>
                      <w:bCs w:val="0"/>
                      <w:color w:val="auto"/>
                    </w:rPr>
                    <w:t>“七</w:t>
                  </w:r>
                  <w:r>
                    <w:rPr>
                      <w:rFonts w:ascii="Times New Roman" w:hAnsi="Times New Roman" w:eastAsia="宋体" w:cs="Times New Roman"/>
                      <w:b w:val="0"/>
                      <w:bCs w:val="0"/>
                      <w:color w:val="auto"/>
                    </w:rPr>
                    <w:t>河</w:t>
                  </w:r>
                  <w:r>
                    <w:rPr>
                      <w:rFonts w:hint="eastAsia" w:ascii="Times New Roman" w:hAnsi="Times New Roman" w:eastAsia="宋体" w:cs="Times New Roman"/>
                      <w:b w:val="0"/>
                      <w:bCs w:val="0"/>
                      <w:color w:val="auto"/>
                    </w:rPr>
                    <w:t>”及其重点支流</w:t>
                  </w:r>
                  <w:r>
                    <w:rPr>
                      <w:rFonts w:ascii="Times New Roman" w:hAnsi="Times New Roman" w:eastAsia="宋体" w:cs="Times New Roman"/>
                      <w:b w:val="0"/>
                      <w:bCs w:val="0"/>
                      <w:color w:val="auto"/>
                    </w:rPr>
                    <w:t>临岸1公里范围内新建</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两高一资</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项目及相关产业园区。</w:t>
                  </w:r>
                </w:p>
                <w:p w14:paraId="2B260F27">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3.</w:t>
                  </w:r>
                  <w:r>
                    <w:rPr>
                      <w:rFonts w:ascii="Times New Roman" w:hAnsi="Times New Roman" w:eastAsia="宋体" w:cs="Times New Roman"/>
                      <w:b w:val="0"/>
                      <w:bCs w:val="0"/>
                      <w:color w:val="auto"/>
                    </w:rPr>
                    <w:t>城市建成区一律禁止新建35蒸吨/小时以下燃煤锅炉</w:t>
                  </w:r>
                  <w:r>
                    <w:rPr>
                      <w:rFonts w:hint="eastAsia" w:ascii="Times New Roman" w:hAnsi="Times New Roman" w:eastAsia="宋体" w:cs="Times New Roman"/>
                      <w:b w:val="0"/>
                      <w:bCs w:val="0"/>
                      <w:color w:val="auto"/>
                    </w:rPr>
                    <w:t>。</w:t>
                  </w:r>
                </w:p>
              </w:tc>
              <w:tc>
                <w:tcPr>
                  <w:tcW w:w="1419" w:type="pct"/>
                  <w:noWrap w:val="0"/>
                  <w:vAlign w:val="center"/>
                </w:tcPr>
                <w:p w14:paraId="21534129">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lang w:val="en-US" w:eastAsia="zh-CN"/>
                    </w:rPr>
                    <w:t>1.</w:t>
                  </w:r>
                  <w:r>
                    <w:rPr>
                      <w:rFonts w:hint="eastAsia" w:ascii="Times New Roman" w:hAnsi="Times New Roman" w:eastAsia="宋体" w:cs="Times New Roman"/>
                      <w:b w:val="0"/>
                      <w:bCs w:val="0"/>
                      <w:color w:val="auto"/>
                    </w:rPr>
                    <w:t>本项目属于</w:t>
                  </w:r>
                  <w:r>
                    <w:rPr>
                      <w:rFonts w:hint="eastAsia" w:ascii="Times New Roman" w:hAnsi="Times New Roman" w:eastAsia="宋体" w:cs="Times New Roman"/>
                      <w:b w:val="0"/>
                      <w:bCs w:val="0"/>
                      <w:color w:val="auto"/>
                      <w:lang w:val="en-US" w:eastAsia="zh-CN"/>
                    </w:rPr>
                    <w:t>丙烷充装</w:t>
                  </w:r>
                  <w:r>
                    <w:rPr>
                      <w:rFonts w:hint="eastAsia" w:ascii="Times New Roman" w:hAnsi="Times New Roman" w:eastAsia="宋体" w:cs="Times New Roman"/>
                      <w:b w:val="0"/>
                      <w:bCs w:val="0"/>
                      <w:color w:val="auto"/>
                    </w:rPr>
                    <w:t>项目，不属于产能过剩行业；</w:t>
                  </w:r>
                </w:p>
                <w:p w14:paraId="2AEB5B27">
                  <w:pPr>
                    <w:pStyle w:val="24"/>
                    <w:bidi w:val="0"/>
                    <w:jc w:val="center"/>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lang w:val="en-US" w:eastAsia="zh-CN"/>
                    </w:rPr>
                    <w:t>2.</w:t>
                  </w:r>
                  <w:r>
                    <w:rPr>
                      <w:rFonts w:hint="eastAsia" w:ascii="Times New Roman" w:hAnsi="Times New Roman" w:eastAsia="宋体" w:cs="Times New Roman"/>
                      <w:b w:val="0"/>
                      <w:bCs w:val="0"/>
                      <w:color w:val="auto"/>
                    </w:rPr>
                    <w:t>本项目</w:t>
                  </w:r>
                  <w:r>
                    <w:rPr>
                      <w:rFonts w:hint="eastAsia" w:ascii="Times New Roman" w:hAnsi="Times New Roman" w:eastAsia="宋体" w:cs="Times New Roman"/>
                      <w:b w:val="0"/>
                      <w:bCs w:val="0"/>
                      <w:color w:val="auto"/>
                      <w:lang w:val="en-US" w:eastAsia="zh-CN"/>
                    </w:rPr>
                    <w:t>东</w:t>
                  </w:r>
                  <w:r>
                    <w:rPr>
                      <w:rFonts w:hint="eastAsia" w:ascii="Times New Roman" w:hAnsi="Times New Roman" w:eastAsia="宋体" w:cs="Times New Roman"/>
                      <w:b w:val="0"/>
                      <w:bCs w:val="0"/>
                      <w:color w:val="auto"/>
                    </w:rPr>
                    <w:t>侧</w:t>
                  </w:r>
                  <w:r>
                    <w:rPr>
                      <w:rFonts w:hint="eastAsia" w:ascii="Times New Roman" w:hAnsi="Times New Roman" w:eastAsia="宋体" w:cs="Times New Roman"/>
                      <w:b w:val="0"/>
                      <w:bCs w:val="0"/>
                      <w:color w:val="auto"/>
                      <w:lang w:val="en-US" w:eastAsia="zh-CN"/>
                    </w:rPr>
                    <w:t>1980</w:t>
                  </w:r>
                  <w:r>
                    <w:rPr>
                      <w:rFonts w:hint="eastAsia" w:ascii="Times New Roman" w:hAnsi="Times New Roman" w:eastAsia="宋体" w:cs="Times New Roman"/>
                      <w:b w:val="0"/>
                      <w:bCs w:val="0"/>
                      <w:color w:val="auto"/>
                    </w:rPr>
                    <w:t>m处为</w:t>
                  </w:r>
                  <w:r>
                    <w:rPr>
                      <w:rFonts w:hint="eastAsia" w:ascii="Times New Roman" w:hAnsi="Times New Roman" w:eastAsia="宋体" w:cs="Times New Roman"/>
                      <w:b w:val="0"/>
                      <w:bCs w:val="0"/>
                      <w:color w:val="auto"/>
                      <w:lang w:val="en-US" w:eastAsia="zh-CN"/>
                    </w:rPr>
                    <w:t>冬至河</w:t>
                  </w:r>
                  <w:r>
                    <w:rPr>
                      <w:rFonts w:hint="eastAsia" w:ascii="Times New Roman" w:hAnsi="Times New Roman" w:eastAsia="宋体" w:cs="Times New Roman"/>
                      <w:b w:val="0"/>
                      <w:bCs w:val="0"/>
                      <w:color w:val="auto"/>
                    </w:rPr>
                    <w:t>，属于清水河支流，不属于“五河”临岸1公里范围内</w:t>
                  </w:r>
                  <w:r>
                    <w:rPr>
                      <w:rFonts w:hint="eastAsia" w:ascii="Times New Roman" w:hAnsi="Times New Roman" w:eastAsia="宋体" w:cs="Times New Roman"/>
                      <w:b w:val="0"/>
                      <w:bCs w:val="0"/>
                      <w:color w:val="auto"/>
                      <w:lang w:eastAsia="zh-CN"/>
                    </w:rPr>
                    <w:t>。</w:t>
                  </w:r>
                </w:p>
                <w:p w14:paraId="63AA0C9D">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lang w:val="en-US" w:eastAsia="zh-CN"/>
                    </w:rPr>
                    <w:t>3.</w:t>
                  </w:r>
                  <w:r>
                    <w:rPr>
                      <w:rFonts w:hint="eastAsia" w:ascii="Times New Roman" w:hAnsi="Times New Roman" w:eastAsia="宋体" w:cs="Times New Roman"/>
                      <w:b w:val="0"/>
                      <w:bCs w:val="0"/>
                      <w:color w:val="auto"/>
                    </w:rPr>
                    <w:t>项目为</w:t>
                  </w:r>
                  <w:r>
                    <w:rPr>
                      <w:rFonts w:hint="eastAsia" w:ascii="Times New Roman" w:hAnsi="Times New Roman" w:eastAsia="宋体" w:cs="Times New Roman"/>
                      <w:b w:val="0"/>
                      <w:bCs w:val="0"/>
                      <w:color w:val="auto"/>
                      <w:lang w:val="en-US" w:eastAsia="zh-CN"/>
                    </w:rPr>
                    <w:t>丙烷充装项目</w:t>
                  </w:r>
                  <w:r>
                    <w:rPr>
                      <w:rFonts w:hint="eastAsia" w:ascii="Times New Roman" w:hAnsi="Times New Roman" w:eastAsia="宋体" w:cs="Times New Roman"/>
                      <w:b w:val="0"/>
                      <w:bCs w:val="0"/>
                      <w:color w:val="auto"/>
                    </w:rPr>
                    <w:t>，不属于“两高一资”项目；项目不涉及燃煤锅炉的建设。</w:t>
                  </w:r>
                </w:p>
              </w:tc>
              <w:tc>
                <w:tcPr>
                  <w:tcW w:w="282" w:type="pct"/>
                  <w:noWrap w:val="0"/>
                  <w:vAlign w:val="center"/>
                </w:tcPr>
                <w:p w14:paraId="39C935D4">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00E59B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continue"/>
                  <w:noWrap w:val="0"/>
                  <w:vAlign w:val="center"/>
                </w:tcPr>
                <w:p w14:paraId="37B4AA3B">
                  <w:pPr>
                    <w:pStyle w:val="24"/>
                    <w:bidi w:val="0"/>
                    <w:jc w:val="center"/>
                    <w:rPr>
                      <w:rFonts w:ascii="Times New Roman" w:hAnsi="Times New Roman" w:eastAsia="宋体" w:cs="Times New Roman"/>
                      <w:b w:val="0"/>
                      <w:bCs w:val="0"/>
                      <w:color w:val="auto"/>
                    </w:rPr>
                  </w:pPr>
                </w:p>
              </w:tc>
              <w:tc>
                <w:tcPr>
                  <w:tcW w:w="503" w:type="pct"/>
                  <w:noWrap w:val="0"/>
                  <w:vAlign w:val="center"/>
                </w:tcPr>
                <w:p w14:paraId="02B01A1E">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A1.2</w:t>
                  </w:r>
                </w:p>
                <w:p w14:paraId="0995B049">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限制开发建设活动的要求</w:t>
                  </w:r>
                </w:p>
              </w:tc>
              <w:tc>
                <w:tcPr>
                  <w:tcW w:w="2479" w:type="pct"/>
                  <w:noWrap w:val="0"/>
                  <w:vAlign w:val="center"/>
                </w:tcPr>
                <w:p w14:paraId="4F1EE862">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1.严格控制在优先保护类耕地集中区域新建有色金属冶炼、石油化工、化工、焦化、电镀、制革等行业企业。</w:t>
                  </w:r>
                </w:p>
              </w:tc>
              <w:tc>
                <w:tcPr>
                  <w:tcW w:w="1419" w:type="pct"/>
                  <w:noWrap w:val="0"/>
                  <w:vAlign w:val="center"/>
                </w:tcPr>
                <w:p w14:paraId="4477ECEF">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本项目属于丙烷充装项目，不属于有色金属冶炼、石油化工、化工、焦化、电镀、制革等行业。</w:t>
                  </w:r>
                </w:p>
              </w:tc>
              <w:tc>
                <w:tcPr>
                  <w:tcW w:w="282" w:type="pct"/>
                  <w:noWrap w:val="0"/>
                  <w:vAlign w:val="center"/>
                </w:tcPr>
                <w:p w14:paraId="31A5E0F9">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4E50B9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continue"/>
                  <w:noWrap w:val="0"/>
                  <w:vAlign w:val="center"/>
                </w:tcPr>
                <w:p w14:paraId="262EA989">
                  <w:pPr>
                    <w:pStyle w:val="24"/>
                    <w:bidi w:val="0"/>
                    <w:jc w:val="center"/>
                    <w:rPr>
                      <w:rFonts w:ascii="Times New Roman" w:hAnsi="Times New Roman" w:eastAsia="宋体" w:cs="Times New Roman"/>
                      <w:b w:val="0"/>
                      <w:bCs w:val="0"/>
                      <w:color w:val="auto"/>
                    </w:rPr>
                  </w:pPr>
                </w:p>
              </w:tc>
              <w:tc>
                <w:tcPr>
                  <w:tcW w:w="503" w:type="pct"/>
                  <w:noWrap w:val="0"/>
                  <w:vAlign w:val="center"/>
                </w:tcPr>
                <w:p w14:paraId="4DEA2B02">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A1.3</w:t>
                  </w:r>
                </w:p>
                <w:p w14:paraId="34A82A18">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不符合空间布局要求的活动的退出要求</w:t>
                  </w:r>
                </w:p>
              </w:tc>
              <w:tc>
                <w:tcPr>
                  <w:tcW w:w="2479" w:type="pct"/>
                  <w:noWrap w:val="0"/>
                  <w:vAlign w:val="center"/>
                </w:tcPr>
                <w:p w14:paraId="688869F0">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在一定过渡期并给予合理补偿的基础上，依法依规关闭或搬迁禁养区内确需关闭或搬迁的畜禽规模养殖场（园区）。</w:t>
                  </w:r>
                </w:p>
                <w:p w14:paraId="337CF75D">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r>
                    <w:rPr>
                      <w:rFonts w:ascii="Times New Roman" w:hAnsi="Times New Roman" w:eastAsia="宋体" w:cs="Times New Roman"/>
                      <w:b w:val="0"/>
                      <w:bCs w:val="0"/>
                      <w:color w:val="auto"/>
                    </w:rPr>
                    <w:t>对违反资源环境法律法规、规划，污染环境、破坏生态、乱采滥挖的露天矿山，依法予以关闭。对污染治理不规范的露天矿山，按</w:t>
                  </w:r>
                  <w:r>
                    <w:rPr>
                      <w:rFonts w:hint="eastAsia" w:ascii="Times New Roman" w:hAnsi="Times New Roman" w:eastAsia="宋体" w:cs="Times New Roman"/>
                      <w:b w:val="0"/>
                      <w:bCs w:val="0"/>
                      <w:color w:val="auto"/>
                    </w:rPr>
                    <w:t>照“</w:t>
                  </w:r>
                  <w:r>
                    <w:rPr>
                      <w:rFonts w:ascii="Times New Roman" w:hAnsi="Times New Roman" w:eastAsia="宋体" w:cs="Times New Roman"/>
                      <w:b w:val="0"/>
                      <w:bCs w:val="0"/>
                      <w:color w:val="auto"/>
                    </w:rPr>
                    <w:t>一矿一策</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制定整治方案，依法责令停产整治。</w:t>
                  </w:r>
                </w:p>
                <w:p w14:paraId="2F4E8DF6">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3.</w:t>
                  </w:r>
                  <w:r>
                    <w:rPr>
                      <w:rFonts w:ascii="Times New Roman" w:hAnsi="Times New Roman" w:eastAsia="宋体" w:cs="Times New Roman"/>
                      <w:b w:val="0"/>
                      <w:bCs w:val="0"/>
                      <w:color w:val="auto"/>
                    </w:rPr>
                    <w:t>对六盘山水源核心区，坚决退出旅游项目，严禁游客进入。</w:t>
                  </w:r>
                </w:p>
                <w:p w14:paraId="497102E3">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4.淘汰不符合国际规定的燃煤锅炉，实现市、县（区）城区清洁取暖全覆盖。</w:t>
                  </w:r>
                </w:p>
              </w:tc>
              <w:tc>
                <w:tcPr>
                  <w:tcW w:w="1419" w:type="pct"/>
                  <w:noWrap w:val="0"/>
                  <w:vAlign w:val="center"/>
                </w:tcPr>
                <w:p w14:paraId="224AD151">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1.不涉及。</w:t>
                  </w:r>
                </w:p>
                <w:p w14:paraId="2BB92E6E">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2.不涉及。</w:t>
                  </w:r>
                </w:p>
                <w:p w14:paraId="7DE86F1E">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3.不涉及。</w:t>
                  </w:r>
                </w:p>
                <w:p w14:paraId="30532723">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4.不涉及。</w:t>
                  </w:r>
                </w:p>
              </w:tc>
              <w:tc>
                <w:tcPr>
                  <w:tcW w:w="282" w:type="pct"/>
                  <w:noWrap w:val="0"/>
                  <w:vAlign w:val="center"/>
                </w:tcPr>
                <w:p w14:paraId="5261815D">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61FB7C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restart"/>
                  <w:noWrap w:val="0"/>
                  <w:vAlign w:val="center"/>
                </w:tcPr>
                <w:p w14:paraId="3470F34F">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A2污染物排放管控</w:t>
                  </w:r>
                </w:p>
              </w:tc>
              <w:tc>
                <w:tcPr>
                  <w:tcW w:w="503" w:type="pct"/>
                  <w:noWrap w:val="0"/>
                  <w:vAlign w:val="center"/>
                </w:tcPr>
                <w:p w14:paraId="1B915E4D">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A2.1</w:t>
                  </w:r>
                </w:p>
                <w:p w14:paraId="2945E64D">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允许排放量要求</w:t>
                  </w:r>
                </w:p>
              </w:tc>
              <w:tc>
                <w:tcPr>
                  <w:tcW w:w="2479" w:type="pct"/>
                  <w:noWrap w:val="0"/>
                  <w:vAlign w:val="center"/>
                </w:tcPr>
                <w:p w14:paraId="56BC0BBB">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化学需氧量、氨氮、氮氧化物、挥发性有机物减排量完成自治区下达任务。</w:t>
                  </w:r>
                </w:p>
                <w:p w14:paraId="12758690">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r>
                    <w:rPr>
                      <w:rFonts w:ascii="Times New Roman" w:hAnsi="Times New Roman" w:eastAsia="宋体" w:cs="Times New Roman"/>
                      <w:b w:val="0"/>
                      <w:bCs w:val="0"/>
                      <w:color w:val="auto"/>
                    </w:rPr>
                    <w:t>严格重金属排放项目准入，坚持</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减量置换</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或</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等量置换</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原则。</w:t>
                  </w:r>
                </w:p>
                <w:p w14:paraId="5791DEB8">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3.</w:t>
                  </w:r>
                  <w:r>
                    <w:rPr>
                      <w:rFonts w:ascii="Times New Roman" w:hAnsi="Times New Roman" w:eastAsia="宋体" w:cs="Times New Roman"/>
                      <w:b w:val="0"/>
                      <w:bCs w:val="0"/>
                      <w:color w:val="auto"/>
                    </w:rPr>
                    <w:t>在</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五河</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干流已覆盖集污管网的区域配套建设污水处理设施，确保所有建制镇和中心村污水处理全覆盖。</w:t>
                  </w:r>
                </w:p>
                <w:p w14:paraId="7B5ABB65">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4.</w:t>
                  </w:r>
                  <w:r>
                    <w:rPr>
                      <w:rFonts w:ascii="Times New Roman" w:hAnsi="Times New Roman" w:eastAsia="宋体" w:cs="Times New Roman"/>
                      <w:b w:val="0"/>
                      <w:bCs w:val="0"/>
                      <w:color w:val="auto"/>
                    </w:rPr>
                    <w:t>火电、水泥等重点行业及燃煤锅炉，严格按照大气污染物排放标准及特别排放限值要求执行。</w:t>
                  </w:r>
                </w:p>
                <w:p w14:paraId="192D5A31">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5.</w:t>
                  </w:r>
                  <w:r>
                    <w:rPr>
                      <w:rFonts w:ascii="Times New Roman" w:hAnsi="Times New Roman" w:eastAsia="宋体" w:cs="Times New Roman"/>
                      <w:b w:val="0"/>
                      <w:bCs w:val="0"/>
                      <w:color w:val="auto"/>
                    </w:rPr>
                    <w:t>到2025年，全市工业固体废弃物综合利用率达到80%，中水利用率达到85%以上。</w:t>
                  </w:r>
                </w:p>
              </w:tc>
              <w:tc>
                <w:tcPr>
                  <w:tcW w:w="1419" w:type="pct"/>
                  <w:noWrap w:val="0"/>
                  <w:vAlign w:val="center"/>
                </w:tcPr>
                <w:p w14:paraId="1686A896">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1.本项目主要为生活废水，废水经化粪池预处理后，排入园区管网，由园区污水处理厂统一处理。</w:t>
                  </w:r>
                </w:p>
                <w:p w14:paraId="3CE3888E">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2.不涉及。</w:t>
                  </w:r>
                </w:p>
                <w:p w14:paraId="57FD851A">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3.不涉及。</w:t>
                  </w:r>
                </w:p>
                <w:p w14:paraId="75E69788">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4.不涉及。</w:t>
                  </w:r>
                </w:p>
                <w:p w14:paraId="44C4327F">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5.不涉及。</w:t>
                  </w:r>
                </w:p>
              </w:tc>
              <w:tc>
                <w:tcPr>
                  <w:tcW w:w="282" w:type="pct"/>
                  <w:noWrap w:val="0"/>
                  <w:vAlign w:val="center"/>
                </w:tcPr>
                <w:p w14:paraId="34FB2F65">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4336C8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continue"/>
                  <w:noWrap w:val="0"/>
                  <w:vAlign w:val="center"/>
                </w:tcPr>
                <w:p w14:paraId="4A34727D">
                  <w:pPr>
                    <w:pStyle w:val="24"/>
                    <w:bidi w:val="0"/>
                    <w:jc w:val="center"/>
                    <w:rPr>
                      <w:rFonts w:ascii="Times New Roman" w:hAnsi="Times New Roman" w:eastAsia="宋体" w:cs="Times New Roman"/>
                      <w:b w:val="0"/>
                      <w:bCs w:val="0"/>
                      <w:color w:val="auto"/>
                    </w:rPr>
                  </w:pPr>
                </w:p>
              </w:tc>
              <w:tc>
                <w:tcPr>
                  <w:tcW w:w="503" w:type="pct"/>
                  <w:noWrap w:val="0"/>
                  <w:vAlign w:val="center"/>
                </w:tcPr>
                <w:p w14:paraId="7E4A646D">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A2.2</w:t>
                  </w:r>
                </w:p>
                <w:p w14:paraId="194C3FD6">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现有</w:t>
                  </w:r>
                  <w:r>
                    <w:rPr>
                      <w:rFonts w:hint="eastAsia" w:ascii="Times New Roman" w:hAnsi="Times New Roman" w:eastAsia="宋体" w:cs="Times New Roman"/>
                      <w:b w:val="0"/>
                      <w:bCs w:val="0"/>
                      <w:color w:val="auto"/>
                    </w:rPr>
                    <w:t>资</w:t>
                  </w:r>
                  <w:r>
                    <w:rPr>
                      <w:rFonts w:ascii="Times New Roman" w:hAnsi="Times New Roman" w:eastAsia="宋体" w:cs="Times New Roman"/>
                      <w:b w:val="0"/>
                      <w:bCs w:val="0"/>
                      <w:color w:val="auto"/>
                    </w:rPr>
                    <w:t>源提标升级改造</w:t>
                  </w:r>
                </w:p>
              </w:tc>
              <w:tc>
                <w:tcPr>
                  <w:tcW w:w="2479" w:type="pct"/>
                  <w:noWrap w:val="0"/>
                  <w:vAlign w:val="center"/>
                </w:tcPr>
                <w:p w14:paraId="2424CB58">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到2025年，65蒸吨/小时及以上燃煤锅炉</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含电力</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全面实现超低排放</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所有燃气锅炉氮氧化物排放浓度低于50毫克/立方米。</w:t>
                  </w:r>
                </w:p>
                <w:p w14:paraId="1CDF41E7">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r>
                    <w:rPr>
                      <w:rFonts w:ascii="Times New Roman" w:hAnsi="Times New Roman" w:eastAsia="宋体" w:cs="Times New Roman"/>
                      <w:b w:val="0"/>
                      <w:bCs w:val="0"/>
                      <w:color w:val="auto"/>
                    </w:rPr>
                    <w:t>探索畜禽养殖</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出户入园</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模式，落实</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一控两减三利用</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，减少化肥和农药使用量</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实现畜禽粪便、农作物秸秆、农膜资源化利用，到2025年，农业废弃物综合利用率达到94%以上。</w:t>
                  </w:r>
                </w:p>
              </w:tc>
              <w:tc>
                <w:tcPr>
                  <w:tcW w:w="1419" w:type="pct"/>
                  <w:noWrap w:val="0"/>
                  <w:vAlign w:val="center"/>
                </w:tcPr>
                <w:p w14:paraId="5F787435">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1.不涉及。</w:t>
                  </w:r>
                </w:p>
                <w:p w14:paraId="780DBB02">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2.不涉及。</w:t>
                  </w:r>
                </w:p>
                <w:p w14:paraId="1C0D1289">
                  <w:pPr>
                    <w:pStyle w:val="24"/>
                    <w:bidi w:val="0"/>
                    <w:jc w:val="center"/>
                    <w:rPr>
                      <w:rFonts w:ascii="Times New Roman" w:hAnsi="Times New Roman" w:eastAsia="宋体" w:cs="Times New Roman"/>
                      <w:b w:val="0"/>
                      <w:bCs w:val="0"/>
                      <w:color w:val="auto"/>
                    </w:rPr>
                  </w:pPr>
                </w:p>
              </w:tc>
              <w:tc>
                <w:tcPr>
                  <w:tcW w:w="282" w:type="pct"/>
                  <w:noWrap w:val="0"/>
                  <w:vAlign w:val="center"/>
                </w:tcPr>
                <w:p w14:paraId="0F1D11CE">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符合</w:t>
                  </w:r>
                </w:p>
              </w:tc>
            </w:tr>
            <w:tr w14:paraId="4C51A3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noWrap w:val="0"/>
                  <w:vAlign w:val="center"/>
                </w:tcPr>
                <w:p w14:paraId="07F29485">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A3环境风险</w:t>
                  </w:r>
                </w:p>
              </w:tc>
              <w:tc>
                <w:tcPr>
                  <w:tcW w:w="503" w:type="pct"/>
                  <w:noWrap w:val="0"/>
                  <w:vAlign w:val="center"/>
                </w:tcPr>
                <w:p w14:paraId="76167C51">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A3.1</w:t>
                  </w:r>
                </w:p>
                <w:p w14:paraId="1F333C46">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联防联控要求</w:t>
                  </w:r>
                </w:p>
              </w:tc>
              <w:tc>
                <w:tcPr>
                  <w:tcW w:w="2479" w:type="pct"/>
                  <w:noWrap w:val="0"/>
                  <w:vAlign w:val="center"/>
                </w:tcPr>
                <w:p w14:paraId="24B0A096">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开展医疗、化工、石油开采和汽修等重点行业涉及危险废物排查整治，建立健全环境风险重点管控单位名录，严控危险废物贮存环节环境风险，严禁超期、超量贮存各类危险废物。</w:t>
                  </w:r>
                </w:p>
                <w:p w14:paraId="357EF8D1">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r>
                    <w:rPr>
                      <w:rFonts w:ascii="Times New Roman" w:hAnsi="Times New Roman" w:eastAsia="宋体" w:cs="Times New Roman"/>
                      <w:b w:val="0"/>
                      <w:bCs w:val="0"/>
                      <w:color w:val="auto"/>
                    </w:rPr>
                    <w:t>以环境风险较高的饮用水水源地保护区、交通干道和集中式污染处理设施等为重点，提高防范环境风险能力，规范化集中式污染处理设施日常运行维护，建设应急导流槽、事故调蓄池、应急闸坝等事故排水收集截留设施等预防性设施</w:t>
                  </w:r>
                  <w:r>
                    <w:rPr>
                      <w:rFonts w:hint="eastAsia" w:ascii="Times New Roman" w:hAnsi="Times New Roman" w:eastAsia="宋体" w:cs="Times New Roman"/>
                      <w:b w:val="0"/>
                      <w:bCs w:val="0"/>
                      <w:color w:val="auto"/>
                    </w:rPr>
                    <w:t>。</w:t>
                  </w:r>
                </w:p>
                <w:p w14:paraId="5369DC1C">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3.</w:t>
                  </w:r>
                  <w:r>
                    <w:rPr>
                      <w:rFonts w:ascii="Times New Roman" w:hAnsi="Times New Roman" w:eastAsia="宋体" w:cs="Times New Roman"/>
                      <w:b w:val="0"/>
                      <w:bCs w:val="0"/>
                      <w:color w:val="auto"/>
                    </w:rPr>
                    <w:t>健全突发环境事件应急预案体系，推进跨区域、跨流域环境应急联动。</w:t>
                  </w:r>
                </w:p>
              </w:tc>
              <w:tc>
                <w:tcPr>
                  <w:tcW w:w="1419" w:type="pct"/>
                  <w:noWrap w:val="0"/>
                  <w:vAlign w:val="center"/>
                </w:tcPr>
                <w:p w14:paraId="06248488">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1.不涉及。</w:t>
                  </w:r>
                </w:p>
                <w:p w14:paraId="145EA4AB">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2.不涉及。</w:t>
                  </w:r>
                </w:p>
                <w:p w14:paraId="4F6C17D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3.不涉及。</w:t>
                  </w:r>
                </w:p>
              </w:tc>
              <w:tc>
                <w:tcPr>
                  <w:tcW w:w="282" w:type="pct"/>
                  <w:noWrap w:val="0"/>
                  <w:vAlign w:val="center"/>
                </w:tcPr>
                <w:p w14:paraId="6168056B">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3EA365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restart"/>
                  <w:noWrap w:val="0"/>
                  <w:vAlign w:val="center"/>
                </w:tcPr>
                <w:p w14:paraId="2AA65C16">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A4资源利用效率要求</w:t>
                  </w:r>
                </w:p>
              </w:tc>
              <w:tc>
                <w:tcPr>
                  <w:tcW w:w="503" w:type="pct"/>
                  <w:noWrap w:val="0"/>
                  <w:vAlign w:val="center"/>
                </w:tcPr>
                <w:p w14:paraId="7AF09ED9">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A4.1</w:t>
                  </w:r>
                </w:p>
                <w:p w14:paraId="6A91E00C">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能源利用总量及效率要求</w:t>
                  </w:r>
                </w:p>
              </w:tc>
              <w:tc>
                <w:tcPr>
                  <w:tcW w:w="2479" w:type="pct"/>
                  <w:noWrap w:val="0"/>
                  <w:vAlign w:val="center"/>
                </w:tcPr>
                <w:p w14:paraId="6CC29CFF">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1.实行煤炭消费总量控制，严控高耗煤行业新增项目。</w:t>
                  </w:r>
                </w:p>
                <w:p w14:paraId="3207E9D4">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2.到2025年，全市单位地区生产总值能耗降低基本目标为13%，激励目标为14%</w:t>
                  </w:r>
                  <w:r>
                    <w:rPr>
                      <w:rFonts w:hint="eastAsia" w:ascii="Times New Roman" w:hAnsi="Times New Roman" w:eastAsia="宋体" w:cs="Times New Roman"/>
                      <w:b w:val="0"/>
                      <w:bCs w:val="0"/>
                      <w:color w:val="auto"/>
                    </w:rPr>
                    <w:t>。</w:t>
                  </w:r>
                </w:p>
              </w:tc>
              <w:tc>
                <w:tcPr>
                  <w:tcW w:w="1419" w:type="pct"/>
                  <w:noWrap w:val="0"/>
                  <w:vAlign w:val="center"/>
                </w:tcPr>
                <w:p w14:paraId="15265A64">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1.不涉及。</w:t>
                  </w:r>
                </w:p>
                <w:p w14:paraId="1B967A61">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2.不涉及。</w:t>
                  </w:r>
                </w:p>
                <w:p w14:paraId="6020EA74">
                  <w:pPr>
                    <w:pStyle w:val="24"/>
                    <w:bidi w:val="0"/>
                    <w:jc w:val="center"/>
                    <w:rPr>
                      <w:rFonts w:hint="eastAsia" w:ascii="Times New Roman" w:hAnsi="Times New Roman" w:eastAsia="宋体" w:cs="Times New Roman"/>
                      <w:b w:val="0"/>
                      <w:bCs w:val="0"/>
                      <w:color w:val="auto"/>
                    </w:rPr>
                  </w:pPr>
                </w:p>
              </w:tc>
              <w:tc>
                <w:tcPr>
                  <w:tcW w:w="282" w:type="pct"/>
                  <w:noWrap w:val="0"/>
                  <w:vAlign w:val="center"/>
                </w:tcPr>
                <w:p w14:paraId="76FA71DF">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r w14:paraId="59A293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28" w:type="dxa"/>
                  <w:left w:w="57" w:type="dxa"/>
                  <w:bottom w:w="28" w:type="dxa"/>
                  <w:right w:w="57" w:type="dxa"/>
                </w:tblCellMar>
              </w:tblPrEx>
              <w:trPr>
                <w:trHeight w:val="340" w:hRule="atLeast"/>
                <w:jc w:val="center"/>
              </w:trPr>
              <w:tc>
                <w:tcPr>
                  <w:tcW w:w="315" w:type="pct"/>
                  <w:vMerge w:val="continue"/>
                  <w:noWrap w:val="0"/>
                  <w:vAlign w:val="center"/>
                </w:tcPr>
                <w:p w14:paraId="3A5ED2C4">
                  <w:pPr>
                    <w:pStyle w:val="24"/>
                    <w:bidi w:val="0"/>
                    <w:jc w:val="center"/>
                    <w:rPr>
                      <w:rFonts w:ascii="Times New Roman" w:hAnsi="Times New Roman" w:eastAsia="宋体" w:cs="Times New Roman"/>
                      <w:b w:val="0"/>
                      <w:bCs w:val="0"/>
                      <w:color w:val="auto"/>
                    </w:rPr>
                  </w:pPr>
                </w:p>
              </w:tc>
              <w:tc>
                <w:tcPr>
                  <w:tcW w:w="503" w:type="pct"/>
                  <w:noWrap w:val="0"/>
                  <w:vAlign w:val="center"/>
                </w:tcPr>
                <w:p w14:paraId="17EDDD80">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A4.2</w:t>
                  </w:r>
                </w:p>
                <w:p w14:paraId="302B1671">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水资源利用总量及效率要求</w:t>
                  </w:r>
                </w:p>
              </w:tc>
              <w:tc>
                <w:tcPr>
                  <w:tcW w:w="2479" w:type="pct"/>
                  <w:noWrap w:val="0"/>
                  <w:vAlign w:val="center"/>
                </w:tcPr>
                <w:p w14:paraId="7D3203FC">
                  <w:pPr>
                    <w:pStyle w:val="24"/>
                    <w:bidi w:val="0"/>
                    <w:jc w:val="center"/>
                    <w:rPr>
                      <w:rFonts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r>
                    <w:rPr>
                      <w:rFonts w:ascii="Times New Roman" w:hAnsi="Times New Roman" w:eastAsia="宋体" w:cs="Times New Roman"/>
                      <w:b w:val="0"/>
                      <w:bCs w:val="0"/>
                      <w:color w:val="auto"/>
                    </w:rPr>
                    <w:t>落实节水指标纳入县（区）政绩考核，对水资源超载地区实行用水和项目</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双限批</w:t>
                  </w:r>
                  <w:r>
                    <w:rPr>
                      <w:rFonts w:hint="eastAsia" w:ascii="Times New Roman" w:hAnsi="Times New Roman" w:eastAsia="宋体" w:cs="Times New Roman"/>
                      <w:b w:val="0"/>
                      <w:bCs w:val="0"/>
                      <w:color w:val="auto"/>
                    </w:rPr>
                    <w:t>”</w:t>
                  </w:r>
                  <w:r>
                    <w:rPr>
                      <w:rFonts w:ascii="Times New Roman" w:hAnsi="Times New Roman" w:eastAsia="宋体" w:cs="Times New Roman"/>
                      <w:b w:val="0"/>
                      <w:bCs w:val="0"/>
                      <w:color w:val="auto"/>
                    </w:rPr>
                    <w:t>，到2025年全市用水总量控制在2</w:t>
                  </w:r>
                  <w:r>
                    <w:rPr>
                      <w:rFonts w:hint="eastAsia" w:ascii="Times New Roman" w:hAnsi="Times New Roman" w:eastAsia="宋体" w:cs="Times New Roman"/>
                      <w:b w:val="0"/>
                      <w:bCs w:val="0"/>
                      <w:color w:val="auto"/>
                    </w:rPr>
                    <w:t>.90</w:t>
                  </w:r>
                  <w:r>
                    <w:rPr>
                      <w:rFonts w:ascii="Times New Roman" w:hAnsi="Times New Roman" w:eastAsia="宋体" w:cs="Times New Roman"/>
                      <w:b w:val="0"/>
                      <w:bCs w:val="0"/>
                      <w:color w:val="auto"/>
                    </w:rPr>
                    <w:t>亿立方米，单位GDP用水量较2020年下降</w:t>
                  </w:r>
                  <w:r>
                    <w:rPr>
                      <w:rFonts w:hint="eastAsia" w:ascii="Times New Roman" w:hAnsi="Times New Roman" w:eastAsia="宋体" w:cs="Times New Roman"/>
                      <w:b w:val="0"/>
                      <w:bCs w:val="0"/>
                      <w:color w:val="auto"/>
                    </w:rPr>
                    <w:t>13</w:t>
                  </w:r>
                  <w:r>
                    <w:rPr>
                      <w:rFonts w:ascii="Times New Roman" w:hAnsi="Times New Roman" w:eastAsia="宋体" w:cs="Times New Roman"/>
                      <w:b w:val="0"/>
                      <w:bCs w:val="0"/>
                      <w:color w:val="auto"/>
                    </w:rPr>
                    <w:t>%。积极推广农业成套综合节水技术，到2025年农田灌溉水有效利用系数达到0.7</w:t>
                  </w:r>
                  <w:r>
                    <w:rPr>
                      <w:rFonts w:hint="eastAsia" w:ascii="Times New Roman" w:hAnsi="Times New Roman" w:eastAsia="宋体" w:cs="Times New Roman"/>
                      <w:b w:val="0"/>
                      <w:bCs w:val="0"/>
                      <w:color w:val="auto"/>
                    </w:rPr>
                    <w:t>9</w:t>
                  </w:r>
                  <w:r>
                    <w:rPr>
                      <w:rFonts w:ascii="Times New Roman" w:hAnsi="Times New Roman" w:eastAsia="宋体" w:cs="Times New Roman"/>
                      <w:b w:val="0"/>
                      <w:bCs w:val="0"/>
                      <w:color w:val="auto"/>
                    </w:rPr>
                    <w:t>。</w:t>
                  </w:r>
                </w:p>
              </w:tc>
              <w:tc>
                <w:tcPr>
                  <w:tcW w:w="1419" w:type="pct"/>
                  <w:noWrap w:val="0"/>
                  <w:vAlign w:val="center"/>
                </w:tcPr>
                <w:p w14:paraId="0F1EC83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本项目主要为生活用水。</w:t>
                  </w:r>
                </w:p>
              </w:tc>
              <w:tc>
                <w:tcPr>
                  <w:tcW w:w="282" w:type="pct"/>
                  <w:noWrap w:val="0"/>
                  <w:vAlign w:val="center"/>
                </w:tcPr>
                <w:p w14:paraId="3B61ACFB">
                  <w:pPr>
                    <w:pStyle w:val="24"/>
                    <w:bidi w:val="0"/>
                    <w:jc w:val="center"/>
                    <w:rPr>
                      <w:rFonts w:ascii="Times New Roman" w:hAnsi="Times New Roman" w:eastAsia="宋体" w:cs="Times New Roman"/>
                      <w:b w:val="0"/>
                      <w:bCs w:val="0"/>
                      <w:color w:val="auto"/>
                    </w:rPr>
                  </w:pPr>
                  <w:r>
                    <w:rPr>
                      <w:rFonts w:ascii="Times New Roman" w:hAnsi="Times New Roman" w:eastAsia="宋体" w:cs="Times New Roman"/>
                      <w:b w:val="0"/>
                      <w:bCs w:val="0"/>
                      <w:color w:val="auto"/>
                    </w:rPr>
                    <w:t>符合</w:t>
                  </w:r>
                </w:p>
              </w:tc>
            </w:tr>
          </w:tbl>
          <w:p w14:paraId="2CC728B1">
            <w:pPr>
              <w:pStyle w:val="51"/>
              <w:kinsoku w:val="0"/>
              <w:adjustRightInd w:val="0"/>
              <w:spacing w:line="240" w:lineRule="auto"/>
              <w:ind w:firstLine="0" w:firstLineChars="0"/>
              <w:jc w:val="center"/>
              <w:rPr>
                <w:rFonts w:hint="default" w:ascii="Times New Roman" w:hAnsi="Times New Roman" w:eastAsia="楷体" w:cs="Times New Roman"/>
                <w:b/>
                <w:color w:val="auto"/>
              </w:rPr>
            </w:pPr>
            <w:r>
              <w:rPr>
                <w:rFonts w:hint="default" w:ascii="Times New Roman" w:hAnsi="Times New Roman" w:eastAsia="楷体" w:cs="Times New Roman"/>
                <w:b/>
                <w:color w:val="auto"/>
              </w:rPr>
              <w:t>表</w:t>
            </w:r>
            <w:r>
              <w:rPr>
                <w:rFonts w:hint="eastAsia" w:ascii="Times New Roman" w:hAnsi="Times New Roman" w:eastAsia="楷体" w:cs="Times New Roman"/>
                <w:b/>
                <w:color w:val="auto"/>
                <w:lang w:val="en-US" w:eastAsia="zh-CN"/>
              </w:rPr>
              <w:t>1-2</w:t>
            </w:r>
            <w:r>
              <w:rPr>
                <w:rFonts w:hint="default" w:ascii="Times New Roman" w:hAnsi="Times New Roman" w:eastAsia="楷体" w:cs="Times New Roman"/>
                <w:b/>
                <w:color w:val="auto"/>
              </w:rPr>
              <w:t xml:space="preserve"> </w:t>
            </w:r>
            <w:r>
              <w:rPr>
                <w:rFonts w:hint="eastAsia" w:ascii="Times New Roman" w:hAnsi="Times New Roman" w:eastAsia="楷体" w:cs="Times New Roman"/>
                <w:b/>
                <w:color w:val="auto"/>
                <w:lang w:eastAsia="zh-CN"/>
              </w:rPr>
              <w:t>项目</w:t>
            </w:r>
            <w:r>
              <w:rPr>
                <w:rFonts w:hint="default" w:ascii="Times New Roman" w:hAnsi="Times New Roman" w:eastAsia="楷体" w:cs="Times New Roman"/>
                <w:b/>
                <w:color w:val="auto"/>
              </w:rPr>
              <w:t>与原州区宁夏固原经济开发区重点管控单元生态环境准入清单符合性一览表</w:t>
            </w:r>
          </w:p>
          <w:tbl>
            <w:tblPr>
              <w:tblStyle w:val="18"/>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629"/>
              <w:gridCol w:w="3008"/>
              <w:gridCol w:w="1876"/>
            </w:tblGrid>
            <w:tr w14:paraId="5D6B3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noWrap w:val="0"/>
                  <w:vAlign w:val="center"/>
                </w:tcPr>
                <w:p w14:paraId="46E49424">
                  <w:pPr>
                    <w:pStyle w:val="24"/>
                    <w:bidi w:val="0"/>
                    <w:jc w:val="center"/>
                    <w:rPr>
                      <w:b/>
                      <w:bCs/>
                      <w:color w:val="auto"/>
                    </w:rPr>
                  </w:pPr>
                  <w:r>
                    <w:rPr>
                      <w:b/>
                      <w:bCs/>
                      <w:color w:val="auto"/>
                    </w:rPr>
                    <w:t>环境管控单元名称</w:t>
                  </w:r>
                </w:p>
              </w:tc>
              <w:tc>
                <w:tcPr>
                  <w:tcW w:w="3852" w:type="dxa"/>
                  <w:gridSpan w:val="2"/>
                  <w:noWrap w:val="0"/>
                  <w:vAlign w:val="center"/>
                </w:tcPr>
                <w:p w14:paraId="5B856296">
                  <w:pPr>
                    <w:pStyle w:val="24"/>
                    <w:bidi w:val="0"/>
                    <w:jc w:val="center"/>
                    <w:rPr>
                      <w:b/>
                      <w:bCs/>
                      <w:color w:val="auto"/>
                    </w:rPr>
                  </w:pPr>
                  <w:r>
                    <w:rPr>
                      <w:rFonts w:hint="eastAsia"/>
                      <w:b/>
                      <w:bCs/>
                      <w:color w:val="auto"/>
                      <w:lang w:eastAsia="zh-CN"/>
                    </w:rPr>
                    <w:t>“</w:t>
                  </w:r>
                  <w:r>
                    <w:rPr>
                      <w:b/>
                      <w:bCs/>
                      <w:color w:val="auto"/>
                    </w:rPr>
                    <w:t>三线一单</w:t>
                  </w:r>
                  <w:r>
                    <w:rPr>
                      <w:rFonts w:hint="eastAsia"/>
                      <w:b/>
                      <w:bCs/>
                      <w:color w:val="auto"/>
                      <w:lang w:eastAsia="zh-CN"/>
                    </w:rPr>
                    <w:t>”</w:t>
                  </w:r>
                  <w:r>
                    <w:rPr>
                      <w:b/>
                      <w:bCs/>
                      <w:color w:val="auto"/>
                    </w:rPr>
                    <w:t>生态环境准入清单编制要求</w:t>
                  </w:r>
                </w:p>
              </w:tc>
              <w:tc>
                <w:tcPr>
                  <w:tcW w:w="2076" w:type="dxa"/>
                  <w:noWrap w:val="0"/>
                  <w:vAlign w:val="center"/>
                </w:tcPr>
                <w:p w14:paraId="22724EB4">
                  <w:pPr>
                    <w:pStyle w:val="24"/>
                    <w:bidi w:val="0"/>
                    <w:jc w:val="center"/>
                    <w:rPr>
                      <w:b/>
                      <w:bCs/>
                      <w:color w:val="auto"/>
                    </w:rPr>
                  </w:pPr>
                  <w:r>
                    <w:rPr>
                      <w:b/>
                      <w:bCs/>
                      <w:color w:val="auto"/>
                    </w:rPr>
                    <w:t>符合性分析</w:t>
                  </w:r>
                </w:p>
              </w:tc>
            </w:tr>
            <w:tr w14:paraId="78A63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restart"/>
                  <w:noWrap w:val="0"/>
                  <w:vAlign w:val="center"/>
                </w:tcPr>
                <w:p w14:paraId="1D5A8F82">
                  <w:pPr>
                    <w:pStyle w:val="24"/>
                    <w:bidi w:val="0"/>
                    <w:jc w:val="center"/>
                    <w:rPr>
                      <w:color w:val="auto"/>
                    </w:rPr>
                  </w:pPr>
                  <w:r>
                    <w:rPr>
                      <w:rFonts w:hint="eastAsia"/>
                      <w:color w:val="auto"/>
                    </w:rPr>
                    <w:t>原州区宁夏固原经济开发区重点管控单元ZH64040220001</w:t>
                  </w:r>
                </w:p>
              </w:tc>
              <w:tc>
                <w:tcPr>
                  <w:tcW w:w="662" w:type="dxa"/>
                  <w:noWrap w:val="0"/>
                  <w:vAlign w:val="center"/>
                </w:tcPr>
                <w:p w14:paraId="26620F1E">
                  <w:pPr>
                    <w:pStyle w:val="24"/>
                    <w:bidi w:val="0"/>
                    <w:jc w:val="center"/>
                    <w:rPr>
                      <w:color w:val="auto"/>
                    </w:rPr>
                  </w:pPr>
                  <w:r>
                    <w:rPr>
                      <w:color w:val="auto"/>
                    </w:rPr>
                    <w:t>空间布局约束</w:t>
                  </w:r>
                </w:p>
              </w:tc>
              <w:tc>
                <w:tcPr>
                  <w:tcW w:w="3190" w:type="dxa"/>
                  <w:noWrap w:val="0"/>
                  <w:vAlign w:val="center"/>
                </w:tcPr>
                <w:p w14:paraId="5D1FD51C">
                  <w:pPr>
                    <w:pStyle w:val="24"/>
                    <w:bidi w:val="0"/>
                    <w:jc w:val="left"/>
                    <w:rPr>
                      <w:rFonts w:hint="default" w:eastAsia="宋体"/>
                      <w:color w:val="auto"/>
                      <w:lang w:val="en-US" w:eastAsia="zh-CN"/>
                    </w:rPr>
                  </w:pPr>
                  <w:r>
                    <w:rPr>
                      <w:rFonts w:hint="default" w:eastAsia="宋体"/>
                      <w:color w:val="auto"/>
                      <w:lang w:val="en-US" w:eastAsia="zh-CN"/>
                    </w:rPr>
                    <w:t>1.除园区基础设施及国家、自治区重大战略项目外，严格禁止高耗能、高排放、低水平项目盲目发展。</w:t>
                  </w:r>
                </w:p>
                <w:p w14:paraId="4E504D7C">
                  <w:pPr>
                    <w:pStyle w:val="24"/>
                    <w:bidi w:val="0"/>
                    <w:jc w:val="left"/>
                    <w:rPr>
                      <w:rFonts w:hint="default" w:eastAsia="宋体"/>
                      <w:color w:val="auto"/>
                      <w:lang w:val="en-US" w:eastAsia="zh-CN"/>
                    </w:rPr>
                  </w:pPr>
                  <w:r>
                    <w:rPr>
                      <w:rFonts w:hint="default" w:eastAsia="宋体"/>
                      <w:color w:val="auto"/>
                      <w:lang w:val="en-US" w:eastAsia="zh-CN"/>
                    </w:rPr>
                    <w:t>2.对未达标排放、不符合生产条件的企业禁止生产，对属于落后产能且污染严重的企业依法关停。</w:t>
                  </w:r>
                </w:p>
                <w:p w14:paraId="4738677D">
                  <w:pPr>
                    <w:pStyle w:val="24"/>
                    <w:bidi w:val="0"/>
                    <w:jc w:val="left"/>
                    <w:rPr>
                      <w:rFonts w:hint="default" w:eastAsia="宋体"/>
                      <w:color w:val="auto"/>
                      <w:lang w:val="en-US" w:eastAsia="zh-CN"/>
                    </w:rPr>
                  </w:pPr>
                  <w:r>
                    <w:rPr>
                      <w:rFonts w:hint="default" w:eastAsia="宋体"/>
                      <w:color w:val="auto"/>
                      <w:lang w:val="en-US" w:eastAsia="zh-CN"/>
                    </w:rPr>
                    <w:t>3.污染地块（土壤重金属超标、污染企业退出的遗留污染宗地）未经治理与修复，或者经治理与修复但未达到土壤污染风险评估报告确定的风险管控、修复目标的建设用地地块，禁止开工建设任何与风险管控、修复无关的项目。</w:t>
                  </w:r>
                </w:p>
                <w:p w14:paraId="0A3BE84A">
                  <w:pPr>
                    <w:pStyle w:val="24"/>
                    <w:bidi w:val="0"/>
                    <w:jc w:val="left"/>
                    <w:rPr>
                      <w:rFonts w:hint="default" w:eastAsia="宋体"/>
                      <w:color w:val="auto"/>
                      <w:lang w:val="en-US" w:eastAsia="zh-CN"/>
                    </w:rPr>
                  </w:pPr>
                  <w:r>
                    <w:rPr>
                      <w:rFonts w:hint="default" w:eastAsia="宋体"/>
                      <w:color w:val="auto"/>
                      <w:lang w:val="en-US" w:eastAsia="zh-CN"/>
                    </w:rPr>
                    <w:t>4.不得新建、改（扩）建产生异味的生物发酵项目。</w:t>
                  </w:r>
                </w:p>
              </w:tc>
              <w:tc>
                <w:tcPr>
                  <w:tcW w:w="2076" w:type="dxa"/>
                  <w:noWrap w:val="0"/>
                  <w:vAlign w:val="center"/>
                </w:tcPr>
                <w:p w14:paraId="01313188">
                  <w:pPr>
                    <w:pStyle w:val="24"/>
                    <w:bidi w:val="0"/>
                    <w:jc w:val="center"/>
                    <w:rPr>
                      <w:rFonts w:hint="eastAsia"/>
                      <w:color w:val="auto"/>
                      <w:lang w:val="en-US" w:eastAsia="zh-CN"/>
                    </w:rPr>
                  </w:pPr>
                  <w:r>
                    <w:rPr>
                      <w:rFonts w:hint="eastAsia"/>
                      <w:color w:val="auto"/>
                      <w:lang w:val="en-US" w:eastAsia="zh-CN"/>
                    </w:rPr>
                    <w:t>1.本项目不属于高高能、高排放、低水平的项目。</w:t>
                  </w:r>
                </w:p>
                <w:p w14:paraId="626B01EC">
                  <w:pPr>
                    <w:pStyle w:val="24"/>
                    <w:bidi w:val="0"/>
                    <w:jc w:val="center"/>
                    <w:rPr>
                      <w:rFonts w:hint="eastAsia"/>
                      <w:color w:val="auto"/>
                      <w:lang w:val="en-US" w:eastAsia="zh-CN"/>
                    </w:rPr>
                  </w:pPr>
                  <w:r>
                    <w:rPr>
                      <w:rFonts w:hint="eastAsia"/>
                      <w:color w:val="auto"/>
                      <w:lang w:val="en-US" w:eastAsia="zh-CN"/>
                    </w:rPr>
                    <w:t>2.本项目不属于未达标排放、不符合生产条件的企业。</w:t>
                  </w:r>
                </w:p>
                <w:p w14:paraId="60C7CE0D">
                  <w:pPr>
                    <w:pStyle w:val="24"/>
                    <w:bidi w:val="0"/>
                    <w:jc w:val="center"/>
                    <w:rPr>
                      <w:rFonts w:hint="eastAsia"/>
                      <w:color w:val="auto"/>
                      <w:lang w:val="en-US" w:eastAsia="zh-CN"/>
                    </w:rPr>
                  </w:pPr>
                  <w:r>
                    <w:rPr>
                      <w:rFonts w:hint="eastAsia"/>
                      <w:color w:val="auto"/>
                      <w:lang w:val="en-US" w:eastAsia="zh-CN"/>
                    </w:rPr>
                    <w:t>3.本项目用地不涉及土壤污染地块。</w:t>
                  </w:r>
                </w:p>
                <w:p w14:paraId="017BCFB4">
                  <w:pPr>
                    <w:pStyle w:val="24"/>
                    <w:bidi w:val="0"/>
                    <w:jc w:val="center"/>
                    <w:rPr>
                      <w:rFonts w:hint="default"/>
                      <w:color w:val="auto"/>
                      <w:lang w:val="en-US" w:eastAsia="zh-CN"/>
                    </w:rPr>
                  </w:pPr>
                  <w:r>
                    <w:rPr>
                      <w:rFonts w:hint="eastAsia"/>
                      <w:color w:val="auto"/>
                      <w:lang w:val="en-US" w:eastAsia="zh-CN"/>
                    </w:rPr>
                    <w:t>4.且本项目为丙烷充装项目，不属于生物发酵项目。</w:t>
                  </w:r>
                </w:p>
              </w:tc>
            </w:tr>
            <w:tr w14:paraId="2954DD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noWrap w:val="0"/>
                  <w:vAlign w:val="center"/>
                </w:tcPr>
                <w:p w14:paraId="3C5C4070">
                  <w:pPr>
                    <w:pStyle w:val="24"/>
                    <w:bidi w:val="0"/>
                    <w:jc w:val="center"/>
                    <w:rPr>
                      <w:color w:val="auto"/>
                    </w:rPr>
                  </w:pPr>
                </w:p>
              </w:tc>
              <w:tc>
                <w:tcPr>
                  <w:tcW w:w="662" w:type="dxa"/>
                  <w:noWrap w:val="0"/>
                  <w:vAlign w:val="center"/>
                </w:tcPr>
                <w:p w14:paraId="1E1C25AA">
                  <w:pPr>
                    <w:pStyle w:val="24"/>
                    <w:bidi w:val="0"/>
                    <w:jc w:val="center"/>
                    <w:rPr>
                      <w:color w:val="auto"/>
                    </w:rPr>
                  </w:pPr>
                  <w:r>
                    <w:rPr>
                      <w:color w:val="auto"/>
                    </w:rPr>
                    <w:t>污染物排放管控</w:t>
                  </w:r>
                </w:p>
              </w:tc>
              <w:tc>
                <w:tcPr>
                  <w:tcW w:w="3190" w:type="dxa"/>
                  <w:noWrap w:val="0"/>
                  <w:vAlign w:val="center"/>
                </w:tcPr>
                <w:p w14:paraId="5D4D5135">
                  <w:pPr>
                    <w:pStyle w:val="24"/>
                    <w:bidi w:val="0"/>
                    <w:jc w:val="left"/>
                    <w:rPr>
                      <w:rFonts w:hint="eastAsia"/>
                      <w:color w:val="auto"/>
                    </w:rPr>
                  </w:pPr>
                  <w:r>
                    <w:rPr>
                      <w:rFonts w:hint="eastAsia"/>
                      <w:color w:val="auto"/>
                    </w:rPr>
                    <w:t>1.建设项目要按照区域污染物削减要求，实施等量替代。</w:t>
                  </w:r>
                </w:p>
                <w:p w14:paraId="76C53A70">
                  <w:pPr>
                    <w:pStyle w:val="24"/>
                    <w:bidi w:val="0"/>
                    <w:jc w:val="left"/>
                    <w:rPr>
                      <w:rFonts w:hint="eastAsia"/>
                      <w:color w:val="auto"/>
                      <w:lang w:eastAsia="zh-CN"/>
                    </w:rPr>
                  </w:pPr>
                  <w:r>
                    <w:rPr>
                      <w:rFonts w:hint="eastAsia"/>
                      <w:color w:val="auto"/>
                    </w:rPr>
                    <w:t>2.园区生产废水要做到有效处理，达标排入管网，或循环利用、不外排；对生活污水经处理达标后排入工业园区污水处理厂。加强金昱元公司污水排放监管力度，确保生产过程中产生的污水集中处理，封堵生产废水排污口，严禁排入园区公网，达到零排放。</w:t>
                  </w:r>
                </w:p>
              </w:tc>
              <w:tc>
                <w:tcPr>
                  <w:tcW w:w="2076" w:type="dxa"/>
                  <w:noWrap w:val="0"/>
                  <w:vAlign w:val="center"/>
                </w:tcPr>
                <w:p w14:paraId="4067E843">
                  <w:pPr>
                    <w:pStyle w:val="24"/>
                    <w:bidi w:val="0"/>
                    <w:jc w:val="center"/>
                    <w:rPr>
                      <w:rFonts w:hint="eastAsia"/>
                      <w:color w:val="auto"/>
                      <w:vertAlign w:val="baseline"/>
                      <w:lang w:val="en-US" w:eastAsia="zh-CN"/>
                    </w:rPr>
                  </w:pPr>
                  <w:r>
                    <w:rPr>
                      <w:rFonts w:hint="eastAsia"/>
                      <w:color w:val="auto"/>
                      <w:vertAlign w:val="baseline"/>
                      <w:lang w:val="en-US" w:eastAsia="zh-CN"/>
                    </w:rPr>
                    <w:t>1.不涉及。</w:t>
                  </w:r>
                </w:p>
                <w:p w14:paraId="382FF468">
                  <w:pPr>
                    <w:pStyle w:val="24"/>
                    <w:bidi w:val="0"/>
                    <w:jc w:val="center"/>
                    <w:rPr>
                      <w:rFonts w:hint="default"/>
                      <w:color w:val="auto"/>
                      <w:vertAlign w:val="baseline"/>
                      <w:lang w:val="en-US" w:eastAsia="zh-CN"/>
                    </w:rPr>
                  </w:pPr>
                  <w:r>
                    <w:rPr>
                      <w:rFonts w:hint="eastAsia"/>
                      <w:color w:val="auto"/>
                      <w:vertAlign w:val="baseline"/>
                      <w:lang w:val="en-US" w:eastAsia="zh-CN"/>
                    </w:rPr>
                    <w:t>2.本项目主要为生活废水，废水经化粪池预处理后，排入园区污水管网。</w:t>
                  </w:r>
                </w:p>
              </w:tc>
            </w:tr>
            <w:tr w14:paraId="300445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noWrap w:val="0"/>
                  <w:vAlign w:val="center"/>
                </w:tcPr>
                <w:p w14:paraId="21630573">
                  <w:pPr>
                    <w:pStyle w:val="24"/>
                    <w:bidi w:val="0"/>
                    <w:jc w:val="center"/>
                    <w:rPr>
                      <w:color w:val="auto"/>
                    </w:rPr>
                  </w:pPr>
                </w:p>
              </w:tc>
              <w:tc>
                <w:tcPr>
                  <w:tcW w:w="662" w:type="dxa"/>
                  <w:noWrap w:val="0"/>
                  <w:vAlign w:val="center"/>
                </w:tcPr>
                <w:p w14:paraId="48DFBA0C">
                  <w:pPr>
                    <w:pStyle w:val="24"/>
                    <w:bidi w:val="0"/>
                    <w:jc w:val="center"/>
                    <w:rPr>
                      <w:color w:val="auto"/>
                    </w:rPr>
                  </w:pPr>
                  <w:r>
                    <w:rPr>
                      <w:color w:val="auto"/>
                    </w:rPr>
                    <w:t>环境风险防控</w:t>
                  </w:r>
                </w:p>
              </w:tc>
              <w:tc>
                <w:tcPr>
                  <w:tcW w:w="3190" w:type="dxa"/>
                  <w:noWrap w:val="0"/>
                  <w:vAlign w:val="center"/>
                </w:tcPr>
                <w:p w14:paraId="3522D764">
                  <w:pPr>
                    <w:pStyle w:val="24"/>
                    <w:bidi w:val="0"/>
                    <w:jc w:val="left"/>
                    <w:rPr>
                      <w:rFonts w:hint="eastAsia"/>
                      <w:color w:val="auto"/>
                      <w:lang w:eastAsia="zh-CN"/>
                    </w:rPr>
                  </w:pPr>
                  <w:r>
                    <w:rPr>
                      <w:rFonts w:hint="eastAsia"/>
                      <w:color w:val="auto"/>
                      <w:lang w:eastAsia="zh-CN"/>
                    </w:rPr>
                    <w:t>1.土壤重点监管、涉重金属企业应采取措施加强土壤环境监测和土壤污染风险防控。</w:t>
                  </w:r>
                </w:p>
                <w:p w14:paraId="7F5F36BE">
                  <w:pPr>
                    <w:pStyle w:val="24"/>
                    <w:bidi w:val="0"/>
                    <w:jc w:val="left"/>
                    <w:rPr>
                      <w:rFonts w:hint="eastAsia"/>
                      <w:color w:val="auto"/>
                      <w:lang w:eastAsia="zh-CN"/>
                    </w:rPr>
                  </w:pPr>
                  <w:r>
                    <w:rPr>
                      <w:rFonts w:hint="eastAsia"/>
                      <w:color w:val="auto"/>
                      <w:lang w:eastAsia="zh-CN"/>
                    </w:rPr>
                    <w:t>2.应建立环境污染事故风险管理组织机制。</w:t>
                  </w:r>
                </w:p>
                <w:p w14:paraId="767077FE">
                  <w:pPr>
                    <w:pStyle w:val="24"/>
                    <w:bidi w:val="0"/>
                    <w:jc w:val="left"/>
                    <w:rPr>
                      <w:rFonts w:hint="eastAsia"/>
                      <w:color w:val="auto"/>
                      <w:lang w:eastAsia="zh-CN"/>
                    </w:rPr>
                  </w:pPr>
                  <w:r>
                    <w:rPr>
                      <w:rFonts w:hint="eastAsia"/>
                      <w:color w:val="auto"/>
                      <w:lang w:eastAsia="zh-CN"/>
                    </w:rPr>
                    <w:t>3.依据《建设项目环境风险评价技术导则》（HJ169-2018），环境风险潜势为极高环境风险（Ⅳ+）且毒性终点浓度-1/（mg/m</w:t>
                  </w:r>
                  <w:r>
                    <w:rPr>
                      <w:rFonts w:hint="eastAsia"/>
                      <w:color w:val="auto"/>
                      <w:vertAlign w:val="superscript"/>
                      <w:lang w:eastAsia="zh-CN"/>
                    </w:rPr>
                    <w:t>3</w:t>
                  </w:r>
                  <w:r>
                    <w:rPr>
                      <w:rFonts w:hint="eastAsia"/>
                      <w:color w:val="auto"/>
                      <w:lang w:eastAsia="zh-CN"/>
                    </w:rPr>
                    <w:t>）范围有居民区的建设项目禁止引入化工集中区。</w:t>
                  </w:r>
                </w:p>
              </w:tc>
              <w:tc>
                <w:tcPr>
                  <w:tcW w:w="2076" w:type="dxa"/>
                  <w:noWrap w:val="0"/>
                  <w:vAlign w:val="center"/>
                </w:tcPr>
                <w:p w14:paraId="4560AC28">
                  <w:pPr>
                    <w:pStyle w:val="24"/>
                    <w:bidi w:val="0"/>
                    <w:jc w:val="both"/>
                    <w:rPr>
                      <w:rFonts w:hint="eastAsia"/>
                      <w:color w:val="auto"/>
                      <w:lang w:val="en-US" w:eastAsia="zh-CN"/>
                    </w:rPr>
                  </w:pPr>
                  <w:r>
                    <w:rPr>
                      <w:rFonts w:hint="eastAsia"/>
                      <w:color w:val="auto"/>
                      <w:lang w:val="en-US" w:eastAsia="zh-CN"/>
                    </w:rPr>
                    <w:t>1.不涉及。</w:t>
                  </w:r>
                </w:p>
                <w:p w14:paraId="1E1ED57D">
                  <w:pPr>
                    <w:pStyle w:val="24"/>
                    <w:bidi w:val="0"/>
                    <w:jc w:val="both"/>
                    <w:rPr>
                      <w:rFonts w:hint="eastAsia"/>
                      <w:color w:val="auto"/>
                      <w:lang w:val="en-US" w:eastAsia="zh-CN"/>
                    </w:rPr>
                  </w:pPr>
                  <w:r>
                    <w:rPr>
                      <w:rFonts w:hint="eastAsia"/>
                      <w:color w:val="auto"/>
                      <w:lang w:val="en-US" w:eastAsia="zh-CN"/>
                    </w:rPr>
                    <w:t>2.本项目将建立环境污染事故风险管理组织机制。</w:t>
                  </w:r>
                </w:p>
                <w:p w14:paraId="71C813CF">
                  <w:pPr>
                    <w:pStyle w:val="24"/>
                    <w:bidi w:val="0"/>
                    <w:jc w:val="both"/>
                    <w:rPr>
                      <w:rFonts w:hint="default"/>
                      <w:color w:val="auto"/>
                      <w:lang w:val="en-US" w:eastAsia="zh-CN"/>
                    </w:rPr>
                  </w:pPr>
                  <w:r>
                    <w:rPr>
                      <w:rFonts w:hint="eastAsia"/>
                      <w:color w:val="auto"/>
                      <w:lang w:val="en-US" w:eastAsia="zh-CN"/>
                    </w:rPr>
                    <w:t>3.根据《年充装10万瓶工业丙烷项目环境风险分析专题评价》本项目风险潜势为</w:t>
                  </w:r>
                  <w:r>
                    <w:rPr>
                      <w:rFonts w:hint="default" w:ascii="Times New Roman" w:hAnsi="Times New Roman" w:cs="Times New Roman"/>
                      <w:color w:val="auto"/>
                      <w:lang w:val="en-US" w:eastAsia="zh-CN"/>
                    </w:rPr>
                    <w:t>Ⅰ</w:t>
                  </w:r>
                  <w:r>
                    <w:rPr>
                      <w:rFonts w:hint="eastAsia"/>
                      <w:color w:val="auto"/>
                      <w:lang w:val="en-US" w:eastAsia="zh-CN"/>
                    </w:rPr>
                    <w:t>级。</w:t>
                  </w:r>
                </w:p>
              </w:tc>
            </w:tr>
            <w:tr w14:paraId="6F6C0A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7" w:type="dxa"/>
                  <w:vMerge w:val="continue"/>
                  <w:noWrap w:val="0"/>
                  <w:vAlign w:val="center"/>
                </w:tcPr>
                <w:p w14:paraId="6D3CC417">
                  <w:pPr>
                    <w:pStyle w:val="24"/>
                    <w:bidi w:val="0"/>
                    <w:jc w:val="center"/>
                    <w:rPr>
                      <w:color w:val="auto"/>
                    </w:rPr>
                  </w:pPr>
                </w:p>
              </w:tc>
              <w:tc>
                <w:tcPr>
                  <w:tcW w:w="662" w:type="dxa"/>
                  <w:noWrap w:val="0"/>
                  <w:vAlign w:val="center"/>
                </w:tcPr>
                <w:p w14:paraId="1219E6E1">
                  <w:pPr>
                    <w:pStyle w:val="24"/>
                    <w:bidi w:val="0"/>
                    <w:jc w:val="center"/>
                    <w:rPr>
                      <w:rFonts w:hint="default" w:eastAsia="宋体"/>
                      <w:color w:val="auto"/>
                      <w:lang w:val="en-US" w:eastAsia="zh-CN"/>
                    </w:rPr>
                  </w:pPr>
                  <w:r>
                    <w:rPr>
                      <w:rFonts w:hint="eastAsia"/>
                      <w:color w:val="auto"/>
                      <w:lang w:val="en-US" w:eastAsia="zh-CN"/>
                    </w:rPr>
                    <w:t>资源开发效率要求</w:t>
                  </w:r>
                </w:p>
              </w:tc>
              <w:tc>
                <w:tcPr>
                  <w:tcW w:w="3190" w:type="dxa"/>
                  <w:noWrap w:val="0"/>
                  <w:vAlign w:val="center"/>
                </w:tcPr>
                <w:p w14:paraId="0C287199">
                  <w:pPr>
                    <w:pStyle w:val="24"/>
                    <w:bidi w:val="0"/>
                    <w:jc w:val="left"/>
                    <w:rPr>
                      <w:rFonts w:hint="eastAsia"/>
                      <w:color w:val="auto"/>
                      <w:lang w:eastAsia="zh-CN"/>
                    </w:rPr>
                  </w:pPr>
                  <w:r>
                    <w:rPr>
                      <w:rFonts w:hint="eastAsia"/>
                      <w:color w:val="auto"/>
                      <w:lang w:eastAsia="zh-CN"/>
                    </w:rPr>
                    <w:t>1.新建、扩建煤电项目应采用先进适用的技术、工艺和设备，供电煤耗和大气污染物排放应达到煤炭清洁高效利用标杆水平。</w:t>
                  </w:r>
                </w:p>
                <w:p w14:paraId="2D828EA0">
                  <w:pPr>
                    <w:pStyle w:val="24"/>
                    <w:bidi w:val="0"/>
                    <w:jc w:val="left"/>
                    <w:rPr>
                      <w:rFonts w:hint="eastAsia"/>
                      <w:color w:val="auto"/>
                      <w:lang w:eastAsia="zh-CN"/>
                    </w:rPr>
                  </w:pPr>
                  <w:r>
                    <w:rPr>
                      <w:rFonts w:hint="eastAsia"/>
                      <w:color w:val="auto"/>
                      <w:lang w:eastAsia="zh-CN"/>
                    </w:rPr>
                    <w:t>2.单位产品水耗、废水排放量、资源综合利用等指标，应达到相应行业清洁生产国内先进水平。</w:t>
                  </w:r>
                </w:p>
                <w:p w14:paraId="636AA4B9">
                  <w:pPr>
                    <w:pStyle w:val="24"/>
                    <w:bidi w:val="0"/>
                    <w:jc w:val="left"/>
                    <w:rPr>
                      <w:rFonts w:hint="eastAsia"/>
                      <w:color w:val="auto"/>
                      <w:lang w:eastAsia="zh-CN"/>
                    </w:rPr>
                  </w:pPr>
                  <w:r>
                    <w:rPr>
                      <w:rFonts w:hint="eastAsia"/>
                      <w:color w:val="auto"/>
                      <w:lang w:eastAsia="zh-CN"/>
                    </w:rPr>
                    <w:t>3.强化节水措施，减少新鲜水用量，优先使用再生水、矿井水等非常规水源。优先采用空冷节水技术。</w:t>
                  </w:r>
                </w:p>
              </w:tc>
              <w:tc>
                <w:tcPr>
                  <w:tcW w:w="2076" w:type="dxa"/>
                  <w:noWrap w:val="0"/>
                  <w:vAlign w:val="center"/>
                </w:tcPr>
                <w:p w14:paraId="2FC491C1">
                  <w:pPr>
                    <w:pStyle w:val="24"/>
                    <w:bidi w:val="0"/>
                    <w:jc w:val="both"/>
                    <w:rPr>
                      <w:rFonts w:hint="eastAsia"/>
                      <w:color w:val="auto"/>
                      <w:lang w:val="en-US" w:eastAsia="zh-CN"/>
                    </w:rPr>
                  </w:pPr>
                  <w:r>
                    <w:rPr>
                      <w:rFonts w:hint="eastAsia"/>
                      <w:color w:val="auto"/>
                      <w:lang w:val="en-US" w:eastAsia="zh-CN"/>
                    </w:rPr>
                    <w:t>1.不涉及。</w:t>
                  </w:r>
                </w:p>
                <w:p w14:paraId="7021E555">
                  <w:pPr>
                    <w:pStyle w:val="24"/>
                    <w:bidi w:val="0"/>
                    <w:jc w:val="both"/>
                    <w:rPr>
                      <w:rFonts w:hint="eastAsia"/>
                      <w:color w:val="auto"/>
                      <w:lang w:val="en-US" w:eastAsia="zh-CN"/>
                    </w:rPr>
                  </w:pPr>
                  <w:r>
                    <w:rPr>
                      <w:rFonts w:hint="eastAsia"/>
                      <w:color w:val="auto"/>
                      <w:lang w:val="en-US" w:eastAsia="zh-CN"/>
                    </w:rPr>
                    <w:t>2.本项目主要为生活用水。</w:t>
                  </w:r>
                </w:p>
                <w:p w14:paraId="474C5B8F">
                  <w:pPr>
                    <w:pStyle w:val="24"/>
                    <w:bidi w:val="0"/>
                    <w:jc w:val="both"/>
                    <w:rPr>
                      <w:rFonts w:hint="default"/>
                      <w:color w:val="auto"/>
                      <w:lang w:val="en-US" w:eastAsia="zh-CN"/>
                    </w:rPr>
                  </w:pPr>
                  <w:r>
                    <w:rPr>
                      <w:rFonts w:hint="eastAsia"/>
                      <w:color w:val="auto"/>
                      <w:lang w:val="en-US" w:eastAsia="zh-CN"/>
                    </w:rPr>
                    <w:t>3.本项目强化节水措施。</w:t>
                  </w:r>
                </w:p>
              </w:tc>
            </w:tr>
          </w:tbl>
          <w:p w14:paraId="53FDAE30">
            <w:pPr>
              <w:pStyle w:val="23"/>
              <w:bidi w:val="0"/>
              <w:rPr>
                <w:rFonts w:hint="eastAsia"/>
                <w:b/>
                <w:bCs/>
                <w:color w:val="auto"/>
                <w:lang w:val="en-US" w:eastAsia="zh-CN"/>
              </w:rPr>
            </w:pPr>
            <w:r>
              <w:rPr>
                <w:rFonts w:hint="eastAsia"/>
                <w:b/>
                <w:bCs/>
                <w:color w:val="auto"/>
                <w:lang w:val="en-US" w:eastAsia="zh-CN"/>
              </w:rPr>
              <w:t>3、与《重点行业挥发性有机物综合治理方案》符合性分析</w:t>
            </w:r>
          </w:p>
          <w:p w14:paraId="0AF3325B">
            <w:pPr>
              <w:pStyle w:val="23"/>
              <w:bidi w:val="0"/>
              <w:rPr>
                <w:rFonts w:hint="eastAsia"/>
                <w:color w:val="auto"/>
                <w:lang w:val="en-US" w:eastAsia="zh-CN"/>
              </w:rPr>
            </w:pPr>
            <w:r>
              <w:rPr>
                <w:rFonts w:hint="eastAsia"/>
                <w:color w:val="auto"/>
                <w:lang w:val="en-US" w:eastAsia="zh-CN"/>
              </w:rPr>
              <w:t>根据生态环境部《重点行业挥发性有机物综合治理方案》（环大气【2019】53号），目前VOCs污染治理的形势和问题，提出了大力推进源头替代、全面加强无组织排放控制、推进建设适宜高效的治污设施、深入实施精细化管控等具体的控制思路和要求。</w:t>
            </w:r>
          </w:p>
          <w:p w14:paraId="66D1BE0D">
            <w:pPr>
              <w:pStyle w:val="23"/>
              <w:bidi w:val="0"/>
              <w:rPr>
                <w:rFonts w:hint="eastAsia"/>
                <w:color w:val="auto"/>
                <w:lang w:val="en-US" w:eastAsia="zh-CN"/>
              </w:rPr>
            </w:pPr>
            <w:r>
              <w:rPr>
                <w:rFonts w:hint="eastAsia"/>
                <w:color w:val="auto"/>
                <w:lang w:val="en-US" w:eastAsia="zh-CN"/>
              </w:rPr>
              <w:t>全面加强无组织排放控制。重点对含VOCs物料（包括含VOCs原辅材料、含VOCs产品、含VOCs废料以及有机聚合物材料等）储存、转移和输送、设备与管线组件泄露、敞开液面逸散以及工艺过程等五类排放源实施管控，通过采取设备与场所密闭、工艺改进、废气有效收集等措施，消减VOCs无组织排放；加强设备与场所密闭管理。含VOCs物料生产和使用过程，应采取有效收集措施或在密闭空间中操作；推进使用先进生产工艺。通过采用全密闭、连续化、自动化等生产技术，以及高效工艺与设备等，减少工艺过程无组织排放。</w:t>
            </w:r>
          </w:p>
          <w:p w14:paraId="551A91A5">
            <w:pPr>
              <w:pStyle w:val="23"/>
              <w:bidi w:val="0"/>
              <w:rPr>
                <w:rFonts w:hint="default"/>
                <w:b w:val="0"/>
                <w:bCs w:val="0"/>
                <w:color w:val="auto"/>
                <w:lang w:val="en-US" w:eastAsia="zh-CN"/>
              </w:rPr>
            </w:pPr>
            <w:r>
              <w:rPr>
                <w:rFonts w:hint="eastAsia"/>
                <w:b w:val="0"/>
                <w:bCs w:val="0"/>
                <w:color w:val="auto"/>
                <w:lang w:val="en-US" w:eastAsia="zh-CN"/>
              </w:rPr>
              <w:t>本项目属于丙烷充装项目，生产过程在半敞开式车间内进行，产生的废气主要为装卸、分装过程少量逸散的丙烷气体，经车间内排风机作用下，以无组织的形式排入外环境。分装过程采取高效工艺及设备，减少丙烷气体的无组织逸散。</w:t>
            </w:r>
          </w:p>
          <w:p w14:paraId="61C4CD9B">
            <w:pPr>
              <w:pStyle w:val="23"/>
              <w:bidi w:val="0"/>
              <w:rPr>
                <w:rFonts w:hint="eastAsia"/>
                <w:b w:val="0"/>
                <w:bCs w:val="0"/>
                <w:color w:val="auto"/>
                <w:lang w:val="en-US" w:eastAsia="zh-CN"/>
              </w:rPr>
            </w:pPr>
            <w:r>
              <w:rPr>
                <w:rFonts w:hint="eastAsia"/>
                <w:b w:val="0"/>
                <w:bCs w:val="0"/>
                <w:color w:val="auto"/>
                <w:lang w:val="en-US" w:eastAsia="zh-CN"/>
              </w:rPr>
              <w:t>因此，本项目符合《重点行业挥发性有机物综合治理方案》（环大气〔2019〕53号）中的相关规定。</w:t>
            </w:r>
          </w:p>
          <w:p w14:paraId="59A23D80">
            <w:pPr>
              <w:pStyle w:val="23"/>
              <w:bidi w:val="0"/>
              <w:rPr>
                <w:rFonts w:hint="eastAsia"/>
                <w:b/>
                <w:bCs/>
                <w:color w:val="auto"/>
                <w:lang w:val="en-US" w:eastAsia="zh-CN"/>
              </w:rPr>
            </w:pPr>
            <w:r>
              <w:rPr>
                <w:rFonts w:hint="eastAsia"/>
                <w:b/>
                <w:bCs/>
                <w:color w:val="auto"/>
                <w:lang w:val="en-US" w:eastAsia="zh-CN"/>
              </w:rPr>
              <w:t>4、与《宁夏回族自治区挥发性有机物污染专项治理工作方案》的符合性分析</w:t>
            </w:r>
          </w:p>
          <w:p w14:paraId="48B98964">
            <w:pPr>
              <w:pStyle w:val="23"/>
              <w:bidi w:val="0"/>
              <w:rPr>
                <w:rFonts w:hint="eastAsia"/>
                <w:color w:val="auto"/>
                <w:lang w:val="en-US" w:eastAsia="zh-CN"/>
              </w:rPr>
            </w:pPr>
            <w:r>
              <w:rPr>
                <w:rFonts w:hint="eastAsia"/>
                <w:color w:val="auto"/>
                <w:lang w:val="en-US" w:eastAsia="zh-CN"/>
              </w:rPr>
              <w:t>根据《宁夏回族自治区挥发性有机物污染专项治理工作方案》中要求：要严格落实“生态保护红线、环境质量底线、资源利用上线和环境准入负面清单”，逐步提高石化、化工、包装印刷、工业涂装等高VOCs排放建设项目的环保准入门槛，实行严格的控制措施。新建涉VOCs排放的工业企业要入园区。新、改、扩建涉VOCs排放项目，应从源头加强控制，加强废气收集，安装高效治理设施。工程机械加工制造行业。推广使用高固体分、粉末涂料，到2020年底前，使用比例达到25%以上；试点推行水性涂料。积极采用自动喷涂、静电喷涂等先进涂装技术。加强有机废气收集与治理，有机废气收集率不低于80%，建设吸附燃烧等高效治理设施，实现达标排放。</w:t>
            </w:r>
          </w:p>
          <w:p w14:paraId="055EFEDF">
            <w:pPr>
              <w:pStyle w:val="23"/>
              <w:bidi w:val="0"/>
              <w:rPr>
                <w:rFonts w:hint="eastAsia"/>
                <w:b w:val="0"/>
                <w:bCs w:val="0"/>
                <w:color w:val="auto"/>
                <w:lang w:val="en-US" w:eastAsia="zh-CN"/>
              </w:rPr>
            </w:pPr>
            <w:r>
              <w:rPr>
                <w:rFonts w:hint="eastAsia"/>
                <w:b w:val="0"/>
                <w:bCs w:val="0"/>
                <w:color w:val="auto"/>
                <w:lang w:val="en-US" w:eastAsia="zh-CN"/>
              </w:rPr>
              <w:t>本项目属于新建项目，地点位于宁夏固原经济开发区新材料产业园区内，生产过程在半敞开式车间内进行，产生的废气主要为装卸、分装过程少量逸散的丙烷气体，经车间内排风机作用下，以无组织形式排入外环境。分装过程采取高效工艺及设备，减少丙烷气体的无组织逸散。</w:t>
            </w:r>
          </w:p>
          <w:p w14:paraId="40CE006F">
            <w:pPr>
              <w:pStyle w:val="23"/>
              <w:bidi w:val="0"/>
              <w:rPr>
                <w:rFonts w:hint="eastAsia" w:eastAsia="宋体"/>
                <w:b w:val="0"/>
                <w:bCs w:val="0"/>
                <w:color w:val="auto"/>
                <w:lang w:val="en-US" w:eastAsia="zh-CN"/>
              </w:rPr>
            </w:pPr>
            <w:r>
              <w:rPr>
                <w:rFonts w:hint="eastAsia"/>
                <w:b w:val="0"/>
                <w:bCs w:val="0"/>
                <w:color w:val="auto"/>
                <w:lang w:val="en-US" w:eastAsia="zh-CN"/>
              </w:rPr>
              <w:t>因此，项目符合《宁夏回族自治区挥发性有机物污染专项治理工作方案》中的相关要求。</w:t>
            </w:r>
          </w:p>
          <w:p w14:paraId="28F98ACD">
            <w:pPr>
              <w:pStyle w:val="23"/>
              <w:bidi w:val="0"/>
              <w:rPr>
                <w:rFonts w:hint="eastAsia"/>
                <w:b/>
                <w:bCs/>
                <w:color w:val="auto"/>
              </w:rPr>
            </w:pPr>
            <w:r>
              <w:rPr>
                <w:rFonts w:hint="eastAsia"/>
                <w:b/>
                <w:bCs/>
                <w:color w:val="auto"/>
                <w:lang w:val="en-US" w:eastAsia="zh-CN"/>
              </w:rPr>
              <w:t>5</w:t>
            </w:r>
            <w:r>
              <w:rPr>
                <w:rFonts w:hint="eastAsia"/>
                <w:b/>
                <w:bCs/>
                <w:color w:val="auto"/>
              </w:rPr>
              <w:t>、选址合理性分析</w:t>
            </w:r>
          </w:p>
          <w:p w14:paraId="0F865E16">
            <w:pPr>
              <w:pStyle w:val="23"/>
              <w:bidi w:val="0"/>
              <w:rPr>
                <w:rFonts w:hint="eastAsia"/>
                <w:color w:val="auto"/>
              </w:rPr>
            </w:pPr>
            <w:r>
              <w:rPr>
                <w:rFonts w:hint="eastAsia"/>
                <w:color w:val="auto"/>
              </w:rPr>
              <w:t>本项目拟建地点位于宁夏固原市经济开发区新材料产业园内，园区具有良好的投资环境和便利的运输条件，园区内水、电、汽、道路等基础设施配套较为完善，现有基础设施基本满足本项目的建设要求。厂址邻近福银高速、101省道主要交通道路，原辅材料运输方便。外部交通运输条件便利，地理位置比较优越。厂址符合化工企业之间、化工企业与其它工矿企业、交通线站之间的安全距离要求。选址远离居民区，不靠近人员密集区，周围无高大建筑物。项目选址是可行的。</w:t>
            </w:r>
          </w:p>
          <w:p w14:paraId="38C910DB">
            <w:pPr>
              <w:pStyle w:val="23"/>
              <w:bidi w:val="0"/>
              <w:rPr>
                <w:rFonts w:hint="eastAsia"/>
                <w:color w:val="auto"/>
              </w:rPr>
            </w:pPr>
          </w:p>
          <w:p w14:paraId="2E78E077">
            <w:pPr>
              <w:pStyle w:val="23"/>
              <w:bidi w:val="0"/>
              <w:rPr>
                <w:rFonts w:hint="eastAsia"/>
                <w:color w:val="auto"/>
              </w:rPr>
            </w:pPr>
          </w:p>
          <w:p w14:paraId="343A5356">
            <w:pPr>
              <w:pStyle w:val="23"/>
              <w:bidi w:val="0"/>
              <w:rPr>
                <w:rFonts w:hint="eastAsia"/>
                <w:color w:val="auto"/>
              </w:rPr>
            </w:pPr>
          </w:p>
          <w:p w14:paraId="0FEC0727">
            <w:pPr>
              <w:pStyle w:val="23"/>
              <w:bidi w:val="0"/>
              <w:rPr>
                <w:rFonts w:hint="eastAsia"/>
                <w:color w:val="auto"/>
              </w:rPr>
            </w:pPr>
          </w:p>
          <w:p w14:paraId="5C0FE592">
            <w:pPr>
              <w:pStyle w:val="23"/>
              <w:bidi w:val="0"/>
              <w:rPr>
                <w:rFonts w:hint="eastAsia"/>
                <w:color w:val="auto"/>
              </w:rPr>
            </w:pPr>
          </w:p>
          <w:p w14:paraId="1AC86A07">
            <w:pPr>
              <w:autoSpaceDE w:val="0"/>
              <w:autoSpaceDN w:val="0"/>
              <w:adjustRightInd w:val="0"/>
              <w:snapToGrid w:val="0"/>
              <w:jc w:val="center"/>
              <w:rPr>
                <w:rFonts w:hint="default" w:ascii="Times New Roman" w:hAnsi="Times New Roman" w:cs="Times New Roman"/>
                <w:color w:val="auto"/>
                <w:kern w:val="0"/>
                <w:szCs w:val="21"/>
              </w:rPr>
            </w:pPr>
          </w:p>
        </w:tc>
      </w:tr>
    </w:tbl>
    <w:p w14:paraId="3D3F270A">
      <w:pPr>
        <w:spacing w:line="360" w:lineRule="auto"/>
        <w:outlineLvl w:val="0"/>
        <w:rPr>
          <w:rFonts w:hint="default" w:ascii="Times New Roman" w:hAnsi="Times New Roman" w:eastAsia="黑体" w:cs="Times New Roman"/>
          <w:color w:val="auto"/>
          <w:sz w:val="30"/>
        </w:rPr>
        <w:sectPr>
          <w:footerReference r:id="rId5" w:type="default"/>
          <w:pgSz w:w="11906" w:h="16838"/>
          <w:pgMar w:top="1417" w:right="1417" w:bottom="1417" w:left="1417" w:header="851" w:footer="1077" w:gutter="0"/>
          <w:pgNumType w:start="1"/>
          <w:cols w:space="720" w:num="1"/>
          <w:docGrid w:linePitch="312" w:charSpace="0"/>
        </w:sectPr>
      </w:pPr>
    </w:p>
    <w:p w14:paraId="7F492DF8">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8835"/>
      </w:tblGrid>
      <w:tr w14:paraId="30559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14:paraId="220C4563">
            <w:pPr>
              <w:pStyle w:val="15"/>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建设内容</w:t>
            </w:r>
          </w:p>
        </w:tc>
        <w:tc>
          <w:tcPr>
            <w:tcW w:w="8835" w:type="dxa"/>
            <w:noWrap w:val="0"/>
            <w:vAlign w:val="top"/>
          </w:tcPr>
          <w:p w14:paraId="183AC955">
            <w:pPr>
              <w:pStyle w:val="23"/>
              <w:keepNext w:val="0"/>
              <w:keepLines w:val="0"/>
              <w:pageBreakBefore w:val="0"/>
              <w:numPr>
                <w:ilvl w:val="0"/>
                <w:numId w:val="1"/>
              </w:numPr>
              <w:kinsoku/>
              <w:wordWrap/>
              <w:overflowPunct/>
              <w:topLinePunct w:val="0"/>
              <w:bidi w:val="0"/>
              <w:adjustRightInd w:val="0"/>
              <w:snapToGrid w:val="0"/>
              <w:textAlignment w:val="auto"/>
              <w:rPr>
                <w:rFonts w:hint="eastAsia"/>
                <w:b/>
                <w:bCs/>
                <w:color w:val="auto"/>
                <w:lang w:val="en-US" w:eastAsia="zh-CN"/>
              </w:rPr>
            </w:pPr>
            <w:r>
              <w:rPr>
                <w:rFonts w:hint="eastAsia"/>
                <w:b/>
                <w:bCs/>
                <w:color w:val="auto"/>
                <w:lang w:val="en-US" w:eastAsia="zh-CN"/>
              </w:rPr>
              <w:t>项目背景</w:t>
            </w:r>
          </w:p>
          <w:p w14:paraId="4BA03804">
            <w:pPr>
              <w:pStyle w:val="23"/>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default"/>
                <w:color w:val="auto"/>
                <w:lang w:val="en-US" w:eastAsia="zh-CN"/>
              </w:rPr>
              <w:t>固原市原州区少兴氧气充装站</w:t>
            </w:r>
            <w:r>
              <w:rPr>
                <w:rFonts w:hint="eastAsia"/>
                <w:color w:val="auto"/>
                <w:lang w:val="en-US" w:eastAsia="zh-CN"/>
              </w:rPr>
              <w:t>建于2008年12月16日。地处固原市原州区开城镇河泉村，占地面积4031.5m</w:t>
            </w:r>
            <w:r>
              <w:rPr>
                <w:rFonts w:hint="eastAsia"/>
                <w:color w:val="auto"/>
                <w:vertAlign w:val="superscript"/>
                <w:lang w:val="en-US" w:eastAsia="zh-CN"/>
              </w:rPr>
              <w:t>2</w:t>
            </w:r>
            <w:r>
              <w:rPr>
                <w:rFonts w:hint="eastAsia"/>
                <w:color w:val="auto"/>
                <w:lang w:val="en-US" w:eastAsia="zh-CN"/>
              </w:rPr>
              <w:t>，建设规模为年充装氧气10万瓶、年充装二氧化碳10万瓶、年充装氩气5万瓶。</w:t>
            </w:r>
          </w:p>
          <w:p w14:paraId="6D37CE7C">
            <w:pPr>
              <w:pStyle w:val="23"/>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default"/>
                <w:color w:val="auto"/>
                <w:lang w:val="en-US" w:eastAsia="zh-CN"/>
              </w:rPr>
              <w:t>根据建设单位的发展规划和产品的市场调查与预测，丙烷气瓶因其体积小使用方便也孕育而得到广泛使用。</w:t>
            </w:r>
            <w:r>
              <w:rPr>
                <w:rFonts w:hint="eastAsia"/>
                <w:color w:val="auto"/>
                <w:lang w:val="en-US" w:eastAsia="zh-CN"/>
              </w:rPr>
              <w:t>因此，建设单位提出年充装10万瓶丙烷、气体检验项目，并于2024年06月07日取得用地许可证。因此本项目属新址新建类项目。本项目所在位置见附图1。</w:t>
            </w:r>
          </w:p>
          <w:p w14:paraId="7B2D12EE">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项目主要建设内容</w:t>
            </w:r>
          </w:p>
          <w:p w14:paraId="2DAAA462">
            <w:pPr>
              <w:pStyle w:val="23"/>
              <w:keepNext w:val="0"/>
              <w:keepLines w:val="0"/>
              <w:pageBreakBefore w:val="0"/>
              <w:kinsoku/>
              <w:wordWrap/>
              <w:overflowPunct/>
              <w:topLinePunct w:val="0"/>
              <w:bidi w:val="0"/>
              <w:adjustRightInd w:val="0"/>
              <w:snapToGrid w:val="0"/>
              <w:textAlignment w:val="auto"/>
              <w:rPr>
                <w:rFonts w:hint="default"/>
                <w:color w:val="auto"/>
                <w:lang w:val="en-US" w:eastAsia="zh-CN"/>
              </w:rPr>
            </w:pPr>
            <w:r>
              <w:rPr>
                <w:rFonts w:hint="default"/>
                <w:color w:val="auto"/>
                <w:lang w:val="en-US" w:eastAsia="zh-CN"/>
              </w:rPr>
              <w:t>项目建设内容主要包括：主体工程、公用工程、辅助工程和环保工程，具体组成情况见表2-1。</w:t>
            </w:r>
          </w:p>
          <w:p w14:paraId="1BD232A4">
            <w:pPr>
              <w:pStyle w:val="25"/>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表2-1                     项目组成一览表</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45"/>
              <w:gridCol w:w="1501"/>
              <w:gridCol w:w="5860"/>
            </w:tblGrid>
            <w:tr w14:paraId="469397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05928538">
                  <w:pPr>
                    <w:pStyle w:val="24"/>
                    <w:keepNext w:val="0"/>
                    <w:keepLines w:val="0"/>
                    <w:pageBreakBefore w:val="0"/>
                    <w:kinsoku/>
                    <w:wordWrap/>
                    <w:overflowPunct/>
                    <w:topLinePunct w:val="0"/>
                    <w:bidi w:val="0"/>
                    <w:adjustRightInd w:val="0"/>
                    <w:snapToGrid w:val="0"/>
                    <w:jc w:val="center"/>
                    <w:textAlignment w:val="auto"/>
                    <w:rPr>
                      <w:rFonts w:hint="default"/>
                      <w:b/>
                      <w:bCs/>
                      <w:color w:val="auto"/>
                      <w:lang w:val="en-US" w:eastAsia="zh-CN"/>
                    </w:rPr>
                  </w:pPr>
                  <w:r>
                    <w:rPr>
                      <w:rFonts w:hint="eastAsia"/>
                      <w:b/>
                      <w:bCs/>
                      <w:color w:val="auto"/>
                      <w:lang w:val="en-US" w:eastAsia="zh-CN"/>
                    </w:rPr>
                    <w:t>序号</w:t>
                  </w:r>
                </w:p>
              </w:tc>
              <w:tc>
                <w:tcPr>
                  <w:tcW w:w="1946" w:type="dxa"/>
                  <w:gridSpan w:val="2"/>
                  <w:noWrap w:val="0"/>
                  <w:vAlign w:val="center"/>
                </w:tcPr>
                <w:p w14:paraId="38357657">
                  <w:pPr>
                    <w:pStyle w:val="24"/>
                    <w:keepNext w:val="0"/>
                    <w:keepLines w:val="0"/>
                    <w:pageBreakBefore w:val="0"/>
                    <w:kinsoku/>
                    <w:wordWrap/>
                    <w:overflowPunct/>
                    <w:topLinePunct w:val="0"/>
                    <w:bidi w:val="0"/>
                    <w:adjustRightInd w:val="0"/>
                    <w:snapToGrid w:val="0"/>
                    <w:jc w:val="center"/>
                    <w:textAlignment w:val="auto"/>
                    <w:rPr>
                      <w:rFonts w:hint="default"/>
                      <w:b/>
                      <w:bCs/>
                      <w:color w:val="auto"/>
                      <w:lang w:val="en-US" w:eastAsia="zh-CN"/>
                    </w:rPr>
                  </w:pPr>
                  <w:r>
                    <w:rPr>
                      <w:rFonts w:hint="eastAsia"/>
                      <w:b/>
                      <w:bCs/>
                      <w:color w:val="auto"/>
                      <w:lang w:val="en-US" w:eastAsia="zh-CN"/>
                    </w:rPr>
                    <w:t>工程类别</w:t>
                  </w:r>
                </w:p>
              </w:tc>
              <w:tc>
                <w:tcPr>
                  <w:tcW w:w="5860" w:type="dxa"/>
                  <w:noWrap w:val="0"/>
                  <w:vAlign w:val="center"/>
                </w:tcPr>
                <w:p w14:paraId="2569CC8A">
                  <w:pPr>
                    <w:pStyle w:val="24"/>
                    <w:keepNext w:val="0"/>
                    <w:keepLines w:val="0"/>
                    <w:pageBreakBefore w:val="0"/>
                    <w:kinsoku/>
                    <w:wordWrap/>
                    <w:overflowPunct/>
                    <w:topLinePunct w:val="0"/>
                    <w:bidi w:val="0"/>
                    <w:adjustRightInd w:val="0"/>
                    <w:snapToGrid w:val="0"/>
                    <w:jc w:val="center"/>
                    <w:textAlignment w:val="auto"/>
                    <w:rPr>
                      <w:rFonts w:hint="default"/>
                      <w:b/>
                      <w:bCs/>
                      <w:color w:val="auto"/>
                      <w:lang w:val="en-US" w:eastAsia="zh-CN"/>
                    </w:rPr>
                  </w:pPr>
                  <w:r>
                    <w:rPr>
                      <w:rFonts w:hint="eastAsia"/>
                      <w:b/>
                      <w:bCs/>
                      <w:color w:val="auto"/>
                      <w:lang w:val="en-US" w:eastAsia="zh-CN"/>
                    </w:rPr>
                    <w:t>建设内容</w:t>
                  </w:r>
                </w:p>
              </w:tc>
            </w:tr>
            <w:tr w14:paraId="0E0B2C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5D7BD764">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w:t>
                  </w:r>
                </w:p>
              </w:tc>
              <w:tc>
                <w:tcPr>
                  <w:tcW w:w="445" w:type="dxa"/>
                  <w:noWrap w:val="0"/>
                  <w:vAlign w:val="center"/>
                </w:tcPr>
                <w:p w14:paraId="5356A613">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主体工程</w:t>
                  </w:r>
                </w:p>
              </w:tc>
              <w:tc>
                <w:tcPr>
                  <w:tcW w:w="1501" w:type="dxa"/>
                  <w:noWrap w:val="0"/>
                  <w:vAlign w:val="center"/>
                </w:tcPr>
                <w:p w14:paraId="1449BD68">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灌装站</w:t>
                  </w:r>
                </w:p>
              </w:tc>
              <w:tc>
                <w:tcPr>
                  <w:tcW w:w="5860" w:type="dxa"/>
                  <w:noWrap w:val="0"/>
                  <w:vAlign w:val="center"/>
                </w:tcPr>
                <w:p w14:paraId="633D8FBB">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default" w:ascii="Times New Roman" w:hAnsi="Times New Roman" w:cs="Times New Roman"/>
                      <w:b w:val="0"/>
                      <w:bCs/>
                      <w:color w:val="auto"/>
                      <w:spacing w:val="4"/>
                      <w:sz w:val="21"/>
                      <w:szCs w:val="21"/>
                      <w:lang w:eastAsia="zh-CN"/>
                    </w:rPr>
                    <w:t>占地面积：489.94</w:t>
                  </w:r>
                  <w:r>
                    <w:rPr>
                      <w:rFonts w:hint="eastAsia" w:cs="Times New Roman"/>
                      <w:b w:val="0"/>
                      <w:bCs/>
                      <w:color w:val="auto"/>
                      <w:spacing w:val="4"/>
                      <w:sz w:val="21"/>
                      <w:szCs w:val="21"/>
                      <w:lang w:val="en-US" w:eastAsia="zh-CN"/>
                    </w:rPr>
                    <w:t>m</w:t>
                  </w:r>
                  <w:r>
                    <w:rPr>
                      <w:rFonts w:hint="eastAsia" w:cs="Times New Roman"/>
                      <w:b w:val="0"/>
                      <w:bCs/>
                      <w:color w:val="auto"/>
                      <w:spacing w:val="4"/>
                      <w:sz w:val="21"/>
                      <w:szCs w:val="21"/>
                      <w:vertAlign w:val="superscript"/>
                      <w:lang w:val="en-US" w:eastAsia="zh-CN"/>
                    </w:rPr>
                    <w:t>2</w:t>
                  </w:r>
                  <w:r>
                    <w:rPr>
                      <w:rFonts w:hint="default" w:ascii="Times New Roman" w:hAnsi="Times New Roman" w:cs="Times New Roman"/>
                      <w:b w:val="0"/>
                      <w:bCs/>
                      <w:color w:val="auto"/>
                      <w:spacing w:val="4"/>
                      <w:sz w:val="21"/>
                      <w:szCs w:val="21"/>
                      <w:lang w:eastAsia="zh-CN"/>
                    </w:rPr>
                    <w:t>，建筑面积：425.32m</w:t>
                  </w:r>
                  <w:r>
                    <w:rPr>
                      <w:rFonts w:hint="default" w:ascii="Times New Roman" w:hAnsi="Times New Roman" w:cs="Times New Roman"/>
                      <w:b w:val="0"/>
                      <w:bCs/>
                      <w:color w:val="auto"/>
                      <w:spacing w:val="4"/>
                      <w:sz w:val="21"/>
                      <w:szCs w:val="21"/>
                      <w:vertAlign w:val="superscript"/>
                      <w:lang w:eastAsia="zh-CN"/>
                    </w:rPr>
                    <w:t>2</w:t>
                  </w:r>
                  <w:r>
                    <w:rPr>
                      <w:rFonts w:hint="default" w:ascii="Times New Roman" w:hAnsi="Times New Roman" w:cs="Times New Roman"/>
                      <w:b w:val="0"/>
                      <w:bCs/>
                      <w:color w:val="auto"/>
                      <w:spacing w:val="4"/>
                      <w:sz w:val="21"/>
                      <w:szCs w:val="21"/>
                      <w:lang w:eastAsia="zh-CN"/>
                    </w:rPr>
                    <w:t>，1F，建筑高度10.5m，框架结构，火灾危险性类别为甲类，耐火等级为二级。主要划分为机泵间、灌装间</w:t>
                  </w:r>
                  <w:r>
                    <w:rPr>
                      <w:rFonts w:hint="eastAsia" w:cs="Times New Roman"/>
                      <w:b w:val="0"/>
                      <w:bCs/>
                      <w:color w:val="auto"/>
                      <w:spacing w:val="4"/>
                      <w:sz w:val="21"/>
                      <w:szCs w:val="21"/>
                      <w:lang w:eastAsia="zh-CN"/>
                    </w:rPr>
                    <w:t>（</w:t>
                  </w:r>
                  <w:r>
                    <w:rPr>
                      <w:rFonts w:hint="eastAsia" w:cs="Times New Roman"/>
                      <w:b w:val="0"/>
                      <w:bCs/>
                      <w:color w:val="auto"/>
                      <w:spacing w:val="4"/>
                      <w:sz w:val="21"/>
                      <w:szCs w:val="21"/>
                      <w:lang w:val="en-US" w:eastAsia="zh-CN"/>
                    </w:rPr>
                    <w:t>4个操作台</w:t>
                  </w:r>
                  <w:r>
                    <w:rPr>
                      <w:rFonts w:hint="eastAsia" w:cs="Times New Roman"/>
                      <w:b w:val="0"/>
                      <w:bCs/>
                      <w:color w:val="auto"/>
                      <w:spacing w:val="4"/>
                      <w:sz w:val="21"/>
                      <w:szCs w:val="21"/>
                      <w:lang w:eastAsia="zh-CN"/>
                    </w:rPr>
                    <w:t>）</w:t>
                  </w:r>
                  <w:r>
                    <w:rPr>
                      <w:rFonts w:hint="default" w:ascii="Times New Roman" w:hAnsi="Times New Roman" w:cs="Times New Roman"/>
                      <w:b w:val="0"/>
                      <w:bCs/>
                      <w:color w:val="auto"/>
                      <w:spacing w:val="4"/>
                      <w:sz w:val="21"/>
                      <w:szCs w:val="21"/>
                      <w:lang w:eastAsia="zh-CN"/>
                    </w:rPr>
                    <w:t>、乙炔实瓶间、丙烷实瓶区域。</w:t>
                  </w:r>
                </w:p>
              </w:tc>
            </w:tr>
            <w:tr w14:paraId="3B2578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568974C5">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2</w:t>
                  </w:r>
                </w:p>
              </w:tc>
              <w:tc>
                <w:tcPr>
                  <w:tcW w:w="445" w:type="dxa"/>
                  <w:vMerge w:val="restart"/>
                  <w:noWrap w:val="0"/>
                  <w:vAlign w:val="center"/>
                </w:tcPr>
                <w:p w14:paraId="63AF933A">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储运工程</w:t>
                  </w:r>
                </w:p>
              </w:tc>
              <w:tc>
                <w:tcPr>
                  <w:tcW w:w="1501" w:type="dxa"/>
                  <w:noWrap w:val="0"/>
                  <w:vAlign w:val="center"/>
                </w:tcPr>
                <w:p w14:paraId="067C14B1">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库房一</w:t>
                  </w:r>
                </w:p>
              </w:tc>
              <w:tc>
                <w:tcPr>
                  <w:tcW w:w="5860" w:type="dxa"/>
                  <w:noWrap w:val="0"/>
                  <w:vAlign w:val="center"/>
                </w:tcPr>
                <w:p w14:paraId="6C9A6A8D">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占地面积839.89m</w:t>
                  </w:r>
                  <w:r>
                    <w:rPr>
                      <w:rFonts w:hint="eastAsia"/>
                      <w:color w:val="auto"/>
                      <w:vertAlign w:val="superscript"/>
                      <w:lang w:val="en-US" w:eastAsia="zh-CN"/>
                    </w:rPr>
                    <w:t>2</w:t>
                  </w:r>
                  <w:r>
                    <w:rPr>
                      <w:rFonts w:hint="eastAsia"/>
                      <w:color w:val="auto"/>
                      <w:vertAlign w:val="baseline"/>
                      <w:lang w:val="en-US" w:eastAsia="zh-CN"/>
                    </w:rPr>
                    <w:t>，建筑面积839.89</w:t>
                  </w:r>
                  <w:r>
                    <w:rPr>
                      <w:rFonts w:hint="eastAsia"/>
                      <w:color w:val="auto"/>
                      <w:lang w:val="en-US" w:eastAsia="zh-CN"/>
                    </w:rPr>
                    <w:t>m</w:t>
                  </w:r>
                  <w:r>
                    <w:rPr>
                      <w:rFonts w:hint="eastAsia"/>
                      <w:color w:val="auto"/>
                      <w:vertAlign w:val="superscript"/>
                      <w:lang w:val="en-US" w:eastAsia="zh-CN"/>
                    </w:rPr>
                    <w:t>2</w:t>
                  </w:r>
                  <w:r>
                    <w:rPr>
                      <w:rFonts w:hint="eastAsia"/>
                      <w:color w:val="auto"/>
                      <w:vertAlign w:val="baseline"/>
                      <w:lang w:val="en-US" w:eastAsia="zh-CN"/>
                    </w:rPr>
                    <w:t>，层高1层，建筑高度12.5m，门刚结构，</w:t>
                  </w:r>
                  <w:r>
                    <w:rPr>
                      <w:rFonts w:hint="eastAsia" w:ascii="Times New Roman" w:hAnsi="Times New Roman" w:eastAsia="宋体" w:cs="Times New Roman"/>
                      <w:b w:val="0"/>
                      <w:bCs/>
                      <w:color w:val="auto"/>
                      <w:spacing w:val="4"/>
                      <w:sz w:val="21"/>
                      <w:szCs w:val="21"/>
                      <w:lang w:eastAsia="zh-CN"/>
                    </w:rPr>
                    <w:t>火灾危险性类别为</w:t>
                  </w:r>
                  <w:r>
                    <w:rPr>
                      <w:rFonts w:hint="eastAsia" w:cs="Times New Roman"/>
                      <w:color w:val="auto"/>
                      <w:kern w:val="0"/>
                      <w:sz w:val="21"/>
                      <w:szCs w:val="21"/>
                      <w:lang w:val="en-US" w:eastAsia="zh-CN"/>
                    </w:rPr>
                    <w:t>丁</w:t>
                  </w:r>
                  <w:r>
                    <w:rPr>
                      <w:rFonts w:hint="eastAsia" w:ascii="Times New Roman" w:hAnsi="Times New Roman" w:eastAsia="宋体" w:cs="Times New Roman"/>
                      <w:color w:val="auto"/>
                      <w:kern w:val="0"/>
                      <w:sz w:val="21"/>
                      <w:szCs w:val="21"/>
                      <w:lang w:val="en-US" w:eastAsia="zh-CN"/>
                    </w:rPr>
                    <w:t>类</w:t>
                  </w:r>
                  <w:r>
                    <w:rPr>
                      <w:rFonts w:hint="eastAsia" w:cs="Times New Roman"/>
                      <w:b w:val="0"/>
                      <w:bCs/>
                      <w:color w:val="auto"/>
                      <w:spacing w:val="4"/>
                      <w:sz w:val="21"/>
                      <w:szCs w:val="21"/>
                      <w:lang w:val="en-US" w:eastAsia="zh-CN"/>
                    </w:rPr>
                    <w:t>，</w:t>
                  </w:r>
                  <w:r>
                    <w:rPr>
                      <w:rFonts w:hint="eastAsia" w:ascii="Times New Roman" w:hAnsi="Times New Roman" w:eastAsia="宋体" w:cs="Times New Roman"/>
                      <w:b w:val="0"/>
                      <w:bCs/>
                      <w:color w:val="auto"/>
                      <w:spacing w:val="4"/>
                      <w:sz w:val="21"/>
                      <w:szCs w:val="21"/>
                      <w:lang w:eastAsia="zh-CN"/>
                    </w:rPr>
                    <w:t>耐火等级为</w:t>
                  </w:r>
                  <w:r>
                    <w:rPr>
                      <w:rFonts w:hint="eastAsia" w:cs="Times New Roman"/>
                      <w:b w:val="0"/>
                      <w:bCs/>
                      <w:color w:val="auto"/>
                      <w:spacing w:val="4"/>
                      <w:sz w:val="21"/>
                      <w:szCs w:val="21"/>
                      <w:lang w:val="en-US" w:eastAsia="zh-CN"/>
                    </w:rPr>
                    <w:t>二级</w:t>
                  </w:r>
                </w:p>
              </w:tc>
            </w:tr>
            <w:tr w14:paraId="24FD34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10" w:type="dxa"/>
                  <w:noWrap w:val="0"/>
                  <w:vAlign w:val="center"/>
                </w:tcPr>
                <w:p w14:paraId="3A76037F">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3</w:t>
                  </w:r>
                </w:p>
              </w:tc>
              <w:tc>
                <w:tcPr>
                  <w:tcW w:w="445" w:type="dxa"/>
                  <w:vMerge w:val="continue"/>
                  <w:noWrap w:val="0"/>
                  <w:vAlign w:val="center"/>
                </w:tcPr>
                <w:p w14:paraId="6621E07E">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p>
              </w:tc>
              <w:tc>
                <w:tcPr>
                  <w:tcW w:w="1501" w:type="dxa"/>
                  <w:noWrap w:val="0"/>
                  <w:vAlign w:val="center"/>
                </w:tcPr>
                <w:p w14:paraId="3B177E2B">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库房二</w:t>
                  </w:r>
                </w:p>
              </w:tc>
              <w:tc>
                <w:tcPr>
                  <w:tcW w:w="5860" w:type="dxa"/>
                  <w:noWrap w:val="0"/>
                  <w:vAlign w:val="center"/>
                </w:tcPr>
                <w:p w14:paraId="16004672">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default" w:ascii="Times New Roman" w:hAnsi="Times New Roman" w:eastAsia="宋体" w:cs="Times New Roman"/>
                      <w:b w:val="0"/>
                      <w:bCs/>
                      <w:color w:val="auto"/>
                      <w:sz w:val="21"/>
                      <w:szCs w:val="21"/>
                      <w:lang w:eastAsia="zh-CN"/>
                    </w:rPr>
                    <w:t>占地面积：</w:t>
                  </w:r>
                  <w:r>
                    <w:rPr>
                      <w:rFonts w:hint="eastAsia" w:ascii="Times New Roman" w:hAnsi="Times New Roman" w:eastAsia="宋体" w:cs="Times New Roman"/>
                      <w:color w:val="auto"/>
                      <w:kern w:val="0"/>
                      <w:sz w:val="21"/>
                      <w:szCs w:val="21"/>
                      <w:lang w:val="en-US" w:eastAsia="zh-CN"/>
                    </w:rPr>
                    <w:t>268.45</w:t>
                  </w:r>
                  <w:r>
                    <w:rPr>
                      <w:rFonts w:hint="default" w:ascii="Times New Roman" w:hAnsi="Times New Roman" w:eastAsia="宋体" w:cs="Times New Roman"/>
                      <w:b w:val="0"/>
                      <w:bCs/>
                      <w:color w:val="auto"/>
                      <w:sz w:val="21"/>
                      <w:szCs w:val="21"/>
                      <w:lang w:eastAsia="zh-CN"/>
                    </w:rPr>
                    <w:t>m</w:t>
                  </w:r>
                  <w:r>
                    <w:rPr>
                      <w:rFonts w:hint="default" w:ascii="Times New Roman" w:hAnsi="Times New Roman"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eastAsia="zh-CN"/>
                    </w:rPr>
                    <w:t>，建筑面积：</w:t>
                  </w:r>
                  <w:r>
                    <w:rPr>
                      <w:rFonts w:hint="eastAsia" w:ascii="Times New Roman" w:hAnsi="Times New Roman" w:eastAsia="宋体" w:cs="Times New Roman"/>
                      <w:color w:val="auto"/>
                      <w:kern w:val="0"/>
                      <w:sz w:val="21"/>
                      <w:szCs w:val="21"/>
                      <w:lang w:val="en-US" w:eastAsia="zh-CN"/>
                    </w:rPr>
                    <w:t>268.45</w:t>
                  </w:r>
                  <w:r>
                    <w:rPr>
                      <w:rFonts w:hint="default" w:ascii="Times New Roman" w:hAnsi="Times New Roman" w:eastAsia="宋体" w:cs="Times New Roman"/>
                      <w:b w:val="0"/>
                      <w:bCs/>
                      <w:color w:val="auto"/>
                      <w:sz w:val="21"/>
                      <w:szCs w:val="21"/>
                      <w:lang w:eastAsia="zh-CN"/>
                    </w:rPr>
                    <w:t>m</w:t>
                  </w:r>
                  <w:r>
                    <w:rPr>
                      <w:rFonts w:hint="default" w:ascii="Times New Roman" w:hAnsi="Times New Roman" w:eastAsia="宋体" w:cs="Times New Roman"/>
                      <w:b w:val="0"/>
                      <w:bCs/>
                      <w:color w:val="auto"/>
                      <w:sz w:val="21"/>
                      <w:szCs w:val="21"/>
                      <w:vertAlign w:val="superscript"/>
                      <w:lang w:eastAsia="zh-CN"/>
                    </w:rPr>
                    <w:t>2</w:t>
                  </w:r>
                  <w:r>
                    <w:rPr>
                      <w:rFonts w:hint="default" w:ascii="Times New Roman" w:hAnsi="Times New Roman" w:eastAsia="宋体" w:cs="Times New Roman"/>
                      <w:b w:val="0"/>
                      <w:bCs/>
                      <w:color w:val="auto"/>
                      <w:sz w:val="21"/>
                      <w:szCs w:val="21"/>
                      <w:lang w:eastAsia="zh-CN"/>
                    </w:rPr>
                    <w:t>，1F，建筑高度</w:t>
                  </w:r>
                  <w:r>
                    <w:rPr>
                      <w:rFonts w:hint="eastAsia" w:cs="Times New Roman"/>
                      <w:color w:val="auto"/>
                      <w:kern w:val="0"/>
                      <w:sz w:val="21"/>
                      <w:szCs w:val="21"/>
                      <w:lang w:val="en-US" w:eastAsia="zh-CN"/>
                    </w:rPr>
                    <w:t>8.5</w:t>
                  </w:r>
                  <w:r>
                    <w:rPr>
                      <w:rFonts w:hint="default" w:ascii="Times New Roman" w:hAnsi="Times New Roman" w:eastAsia="宋体" w:cs="Times New Roman"/>
                      <w:b w:val="0"/>
                      <w:bCs/>
                      <w:color w:val="auto"/>
                      <w:sz w:val="21"/>
                      <w:szCs w:val="21"/>
                      <w:lang w:eastAsia="zh-CN"/>
                    </w:rPr>
                    <w:t>m，门钢结构，</w:t>
                  </w:r>
                  <w:r>
                    <w:rPr>
                      <w:rFonts w:hint="eastAsia" w:ascii="Times New Roman" w:hAnsi="Times New Roman" w:eastAsia="宋体" w:cs="Times New Roman"/>
                      <w:b w:val="0"/>
                      <w:bCs/>
                      <w:color w:val="auto"/>
                      <w:spacing w:val="4"/>
                      <w:sz w:val="21"/>
                      <w:szCs w:val="21"/>
                      <w:lang w:eastAsia="zh-CN"/>
                    </w:rPr>
                    <w:t>火灾危险性类别为</w:t>
                  </w:r>
                  <w:r>
                    <w:rPr>
                      <w:rFonts w:hint="eastAsia" w:cs="Times New Roman"/>
                      <w:color w:val="auto"/>
                      <w:kern w:val="0"/>
                      <w:sz w:val="21"/>
                      <w:szCs w:val="21"/>
                      <w:lang w:val="en-US" w:eastAsia="zh-CN"/>
                    </w:rPr>
                    <w:t>丁</w:t>
                  </w:r>
                  <w:r>
                    <w:rPr>
                      <w:rFonts w:hint="eastAsia" w:ascii="Times New Roman" w:hAnsi="Times New Roman" w:eastAsia="宋体" w:cs="Times New Roman"/>
                      <w:color w:val="auto"/>
                      <w:kern w:val="0"/>
                      <w:sz w:val="21"/>
                      <w:szCs w:val="21"/>
                      <w:lang w:val="en-US" w:eastAsia="zh-CN"/>
                    </w:rPr>
                    <w:t>类</w:t>
                  </w:r>
                  <w:r>
                    <w:rPr>
                      <w:rFonts w:hint="eastAsia" w:cs="Times New Roman"/>
                      <w:b w:val="0"/>
                      <w:bCs/>
                      <w:color w:val="auto"/>
                      <w:spacing w:val="4"/>
                      <w:sz w:val="21"/>
                      <w:szCs w:val="21"/>
                      <w:lang w:val="en-US" w:eastAsia="zh-CN"/>
                    </w:rPr>
                    <w:t>，</w:t>
                  </w:r>
                  <w:r>
                    <w:rPr>
                      <w:rFonts w:hint="eastAsia" w:ascii="Times New Roman" w:hAnsi="Times New Roman" w:eastAsia="宋体" w:cs="Times New Roman"/>
                      <w:b w:val="0"/>
                      <w:bCs/>
                      <w:color w:val="auto"/>
                      <w:spacing w:val="4"/>
                      <w:sz w:val="21"/>
                      <w:szCs w:val="21"/>
                      <w:lang w:eastAsia="zh-CN"/>
                    </w:rPr>
                    <w:t>耐火等级为</w:t>
                  </w:r>
                  <w:r>
                    <w:rPr>
                      <w:rFonts w:hint="eastAsia" w:cs="Times New Roman"/>
                      <w:b w:val="0"/>
                      <w:bCs/>
                      <w:color w:val="auto"/>
                      <w:spacing w:val="4"/>
                      <w:sz w:val="21"/>
                      <w:szCs w:val="21"/>
                      <w:lang w:val="en-US" w:eastAsia="zh-CN"/>
                    </w:rPr>
                    <w:t>二级</w:t>
                  </w:r>
                  <w:r>
                    <w:rPr>
                      <w:rFonts w:hint="default" w:ascii="Times New Roman" w:hAnsi="Times New Roman" w:eastAsia="宋体" w:cs="Times New Roman"/>
                      <w:b w:val="0"/>
                      <w:bCs/>
                      <w:color w:val="auto"/>
                      <w:sz w:val="21"/>
                      <w:szCs w:val="21"/>
                      <w:lang w:eastAsia="zh-CN"/>
                    </w:rPr>
                    <w:t>。</w:t>
                  </w:r>
                </w:p>
              </w:tc>
            </w:tr>
            <w:tr w14:paraId="2C345E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3D54838C">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4</w:t>
                  </w:r>
                </w:p>
              </w:tc>
              <w:tc>
                <w:tcPr>
                  <w:tcW w:w="445" w:type="dxa"/>
                  <w:vMerge w:val="continue"/>
                  <w:noWrap w:val="0"/>
                  <w:vAlign w:val="center"/>
                </w:tcPr>
                <w:p w14:paraId="55D7EDEC">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p>
              </w:tc>
              <w:tc>
                <w:tcPr>
                  <w:tcW w:w="1501" w:type="dxa"/>
                  <w:noWrap w:val="0"/>
                  <w:vAlign w:val="center"/>
                </w:tcPr>
                <w:p w14:paraId="62FC998F">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s="Times New Roman"/>
                      <w:color w:val="auto"/>
                      <w:kern w:val="0"/>
                      <w:sz w:val="21"/>
                      <w:szCs w:val="21"/>
                      <w:lang w:val="en-US" w:eastAsia="zh-CN" w:bidi="ar-SA"/>
                    </w:rPr>
                    <w:t>装卸场地</w:t>
                  </w:r>
                </w:p>
              </w:tc>
              <w:tc>
                <w:tcPr>
                  <w:tcW w:w="5860" w:type="dxa"/>
                  <w:noWrap w:val="0"/>
                  <w:vAlign w:val="center"/>
                </w:tcPr>
                <w:p w14:paraId="2552061C">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s="Times New Roman"/>
                      <w:b w:val="0"/>
                      <w:bCs/>
                      <w:color w:val="auto"/>
                      <w:sz w:val="21"/>
                      <w:szCs w:val="21"/>
                      <w:lang w:val="en-US" w:eastAsia="zh-CN"/>
                    </w:rPr>
                    <w:t>占地面积512.9</w:t>
                  </w:r>
                  <w:r>
                    <w:rPr>
                      <w:rFonts w:hint="default" w:ascii="Times New Roman" w:hAnsi="Times New Roman" w:eastAsia="宋体" w:cs="Times New Roman"/>
                      <w:b w:val="0"/>
                      <w:bCs/>
                      <w:color w:val="auto"/>
                      <w:sz w:val="21"/>
                      <w:szCs w:val="21"/>
                      <w:lang w:eastAsia="zh-CN"/>
                    </w:rPr>
                    <w:t>m</w:t>
                  </w:r>
                  <w:r>
                    <w:rPr>
                      <w:rFonts w:hint="default" w:ascii="Times New Roman" w:hAnsi="Times New Roman" w:cs="Times New Roman"/>
                      <w:b w:val="0"/>
                      <w:bCs/>
                      <w:color w:val="auto"/>
                      <w:sz w:val="21"/>
                      <w:szCs w:val="21"/>
                      <w:vertAlign w:val="superscript"/>
                      <w:lang w:val="en-US" w:eastAsia="zh-CN"/>
                    </w:rPr>
                    <w:t>2</w:t>
                  </w:r>
                  <w:r>
                    <w:rPr>
                      <w:rFonts w:hint="default" w:ascii="Times New Roman" w:hAnsi="Times New Roman" w:eastAsia="宋体" w:cs="Times New Roman"/>
                      <w:b w:val="0"/>
                      <w:bCs/>
                      <w:color w:val="auto"/>
                      <w:sz w:val="21"/>
                      <w:szCs w:val="21"/>
                      <w:lang w:eastAsia="zh-CN"/>
                    </w:rPr>
                    <w:t>，</w:t>
                  </w:r>
                  <w:r>
                    <w:rPr>
                      <w:rFonts w:hint="eastAsia" w:ascii="Times New Roman" w:hAnsi="Times New Roman" w:eastAsia="宋体" w:cs="Times New Roman"/>
                      <w:b w:val="0"/>
                      <w:bCs/>
                      <w:color w:val="auto"/>
                      <w:spacing w:val="4"/>
                      <w:sz w:val="21"/>
                      <w:szCs w:val="21"/>
                      <w:lang w:eastAsia="zh-CN"/>
                    </w:rPr>
                    <w:t>火灾危险性类别为</w:t>
                  </w:r>
                  <w:r>
                    <w:rPr>
                      <w:rFonts w:hint="eastAsia" w:ascii="Times New Roman" w:hAnsi="Times New Roman" w:cs="Times New Roman"/>
                      <w:b w:val="0"/>
                      <w:bCs/>
                      <w:color w:val="auto"/>
                      <w:sz w:val="21"/>
                      <w:szCs w:val="21"/>
                      <w:lang w:val="en-US" w:eastAsia="zh-CN"/>
                    </w:rPr>
                    <w:t>甲</w:t>
                  </w:r>
                  <w:r>
                    <w:rPr>
                      <w:rFonts w:hint="default" w:ascii="Times New Roman" w:hAnsi="Times New Roman" w:cs="Times New Roman"/>
                      <w:b w:val="0"/>
                      <w:bCs/>
                      <w:color w:val="auto"/>
                      <w:sz w:val="21"/>
                      <w:szCs w:val="21"/>
                      <w:lang w:val="en-US" w:eastAsia="zh-CN"/>
                    </w:rPr>
                    <w:t>类</w:t>
                  </w:r>
                  <w:r>
                    <w:rPr>
                      <w:rFonts w:hint="eastAsia" w:cs="Times New Roman"/>
                      <w:b w:val="0"/>
                      <w:bCs/>
                      <w:color w:val="auto"/>
                      <w:sz w:val="21"/>
                      <w:szCs w:val="21"/>
                      <w:lang w:val="en-US" w:eastAsia="zh-CN"/>
                    </w:rPr>
                    <w:t>，拟设丙烷卸车鹤位、停车区等。</w:t>
                  </w:r>
                </w:p>
              </w:tc>
            </w:tr>
            <w:tr w14:paraId="218BC4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03D14C4D">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5</w:t>
                  </w:r>
                </w:p>
              </w:tc>
              <w:tc>
                <w:tcPr>
                  <w:tcW w:w="445" w:type="dxa"/>
                  <w:vMerge w:val="continue"/>
                  <w:noWrap w:val="0"/>
                  <w:vAlign w:val="center"/>
                </w:tcPr>
                <w:p w14:paraId="385BBF76">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544DEEF6">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丙烷储罐区</w:t>
                  </w:r>
                </w:p>
              </w:tc>
              <w:tc>
                <w:tcPr>
                  <w:tcW w:w="5860" w:type="dxa"/>
                  <w:noWrap w:val="0"/>
                  <w:vAlign w:val="center"/>
                </w:tcPr>
                <w:p w14:paraId="28C985BA">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default" w:ascii="Times New Roman" w:hAnsi="Times New Roman" w:cs="Times New Roman"/>
                      <w:b w:val="0"/>
                      <w:bCs/>
                      <w:color w:val="auto"/>
                      <w:sz w:val="21"/>
                      <w:szCs w:val="21"/>
                      <w:lang w:val="en-US" w:eastAsia="zh-CN"/>
                    </w:rPr>
                    <w:t>占地面积：</w:t>
                  </w:r>
                  <w:r>
                    <w:rPr>
                      <w:rFonts w:hint="eastAsia" w:cs="Times New Roman"/>
                      <w:b w:val="0"/>
                      <w:bCs/>
                      <w:color w:val="auto"/>
                      <w:sz w:val="21"/>
                      <w:szCs w:val="21"/>
                      <w:lang w:val="en-US" w:eastAsia="zh-CN"/>
                    </w:rPr>
                    <w:t>152.6</w:t>
                  </w:r>
                  <w:r>
                    <w:rPr>
                      <w:rFonts w:hint="default" w:ascii="Times New Roman" w:hAnsi="Times New Roman" w:cs="Times New Roman"/>
                      <w:b w:val="0"/>
                      <w:bCs/>
                      <w:color w:val="auto"/>
                      <w:sz w:val="21"/>
                      <w:szCs w:val="21"/>
                      <w:lang w:val="en-US" w:eastAsia="zh-CN"/>
                    </w:rPr>
                    <w:t>m</w:t>
                  </w:r>
                  <w:r>
                    <w:rPr>
                      <w:rFonts w:hint="default" w:ascii="Times New Roman" w:hAnsi="Times New Roman" w:cs="Times New Roman"/>
                      <w:b w:val="0"/>
                      <w:bCs/>
                      <w:color w:val="auto"/>
                      <w:sz w:val="21"/>
                      <w:szCs w:val="21"/>
                      <w:vertAlign w:val="superscript"/>
                      <w:lang w:val="en-US" w:eastAsia="zh-CN"/>
                    </w:rPr>
                    <w:t>2</w:t>
                  </w:r>
                  <w:r>
                    <w:rPr>
                      <w:rFonts w:hint="default" w:ascii="Times New Roman" w:hAnsi="Times New Roman" w:cs="Times New Roman"/>
                      <w:b w:val="0"/>
                      <w:bCs/>
                      <w:color w:val="auto"/>
                      <w:sz w:val="21"/>
                      <w:szCs w:val="21"/>
                      <w:lang w:val="en-US" w:eastAsia="zh-CN"/>
                    </w:rPr>
                    <w:t>，</w:t>
                  </w:r>
                  <w:r>
                    <w:rPr>
                      <w:rFonts w:hint="eastAsia" w:ascii="Times New Roman" w:hAnsi="Times New Roman" w:eastAsia="宋体" w:cs="Times New Roman"/>
                      <w:b w:val="0"/>
                      <w:bCs/>
                      <w:color w:val="auto"/>
                      <w:spacing w:val="4"/>
                      <w:sz w:val="21"/>
                      <w:szCs w:val="21"/>
                      <w:lang w:eastAsia="zh-CN"/>
                    </w:rPr>
                    <w:t>火灾危险性类别为</w:t>
                  </w:r>
                  <w:r>
                    <w:rPr>
                      <w:rFonts w:hint="eastAsia" w:ascii="Times New Roman" w:hAnsi="Times New Roman" w:cs="Times New Roman"/>
                      <w:b w:val="0"/>
                      <w:bCs/>
                      <w:color w:val="auto"/>
                      <w:sz w:val="21"/>
                      <w:szCs w:val="21"/>
                      <w:lang w:val="en-US" w:eastAsia="zh-CN"/>
                    </w:rPr>
                    <w:t>甲</w:t>
                  </w:r>
                  <w:r>
                    <w:rPr>
                      <w:rFonts w:hint="default" w:ascii="Times New Roman" w:hAnsi="Times New Roman" w:cs="Times New Roman"/>
                      <w:b w:val="0"/>
                      <w:bCs/>
                      <w:color w:val="auto"/>
                      <w:sz w:val="21"/>
                      <w:szCs w:val="21"/>
                      <w:lang w:val="en-US" w:eastAsia="zh-CN"/>
                    </w:rPr>
                    <w:t>类，</w:t>
                  </w:r>
                  <w:r>
                    <w:rPr>
                      <w:rFonts w:hint="default" w:ascii="Times New Roman" w:hAnsi="Times New Roman" w:cs="Times New Roman"/>
                      <w:b w:val="0"/>
                      <w:bCs/>
                      <w:color w:val="auto"/>
                      <w:spacing w:val="4"/>
                      <w:sz w:val="21"/>
                      <w:szCs w:val="21"/>
                      <w:lang w:val="en-US" w:eastAsia="zh-CN"/>
                    </w:rPr>
                    <w:t>拟设</w:t>
                  </w:r>
                  <w:r>
                    <w:rPr>
                      <w:rFonts w:hint="eastAsia" w:cs="Times New Roman"/>
                      <w:b w:val="0"/>
                      <w:bCs/>
                      <w:color w:val="auto"/>
                      <w:spacing w:val="4"/>
                      <w:sz w:val="21"/>
                      <w:szCs w:val="21"/>
                      <w:vertAlign w:val="baseline"/>
                      <w:lang w:val="en-US" w:eastAsia="zh-CN"/>
                    </w:rPr>
                    <w:t>2台</w:t>
                  </w:r>
                  <w:r>
                    <w:rPr>
                      <w:rFonts w:hint="eastAsia" w:ascii="Times New Roman" w:hAnsi="Times New Roman" w:cs="Times New Roman"/>
                      <w:b w:val="0"/>
                      <w:bCs/>
                      <w:color w:val="auto"/>
                      <w:spacing w:val="4"/>
                      <w:sz w:val="21"/>
                      <w:szCs w:val="21"/>
                      <w:lang w:val="en-US" w:eastAsia="zh-CN"/>
                    </w:rPr>
                    <w:t>40</w:t>
                  </w:r>
                  <w:r>
                    <w:rPr>
                      <w:rFonts w:hint="default" w:ascii="Times New Roman" w:hAnsi="Times New Roman" w:cs="Times New Roman"/>
                      <w:b w:val="0"/>
                      <w:bCs/>
                      <w:color w:val="auto"/>
                      <w:spacing w:val="4"/>
                      <w:sz w:val="21"/>
                      <w:szCs w:val="21"/>
                      <w:lang w:val="en-US" w:eastAsia="zh-CN"/>
                    </w:rPr>
                    <w:t>m</w:t>
                  </w:r>
                  <w:r>
                    <w:rPr>
                      <w:rFonts w:hint="default" w:ascii="Times New Roman" w:hAnsi="Times New Roman" w:cs="Times New Roman"/>
                      <w:b w:val="0"/>
                      <w:bCs/>
                      <w:color w:val="auto"/>
                      <w:spacing w:val="4"/>
                      <w:sz w:val="21"/>
                      <w:szCs w:val="21"/>
                      <w:vertAlign w:val="superscript"/>
                      <w:lang w:val="en-US" w:eastAsia="zh-CN"/>
                    </w:rPr>
                    <w:t>3</w:t>
                  </w:r>
                  <w:r>
                    <w:rPr>
                      <w:rFonts w:hint="eastAsia" w:cs="Times New Roman"/>
                      <w:b w:val="0"/>
                      <w:bCs/>
                      <w:color w:val="auto"/>
                      <w:spacing w:val="4"/>
                      <w:sz w:val="21"/>
                      <w:szCs w:val="21"/>
                      <w:vertAlign w:val="baseline"/>
                      <w:lang w:val="en-US" w:eastAsia="zh-CN"/>
                    </w:rPr>
                    <w:t>地下卧式丙烷储罐</w:t>
                  </w:r>
                  <w:r>
                    <w:rPr>
                      <w:rFonts w:hint="default" w:ascii="Times New Roman" w:hAnsi="Times New Roman" w:cs="Times New Roman"/>
                      <w:b w:val="0"/>
                      <w:bCs/>
                      <w:color w:val="auto"/>
                      <w:spacing w:val="4"/>
                      <w:sz w:val="21"/>
                      <w:szCs w:val="21"/>
                      <w:vertAlign w:val="baseline"/>
                      <w:lang w:val="en-US" w:eastAsia="zh-CN"/>
                    </w:rPr>
                    <w:t>。</w:t>
                  </w:r>
                </w:p>
              </w:tc>
            </w:tr>
            <w:tr w14:paraId="42AE37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07A9CB41">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6</w:t>
                  </w:r>
                </w:p>
              </w:tc>
              <w:tc>
                <w:tcPr>
                  <w:tcW w:w="445" w:type="dxa"/>
                  <w:vMerge w:val="restart"/>
                  <w:noWrap w:val="0"/>
                  <w:vAlign w:val="center"/>
                </w:tcPr>
                <w:p w14:paraId="19FF0381">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辅助工程</w:t>
                  </w:r>
                </w:p>
              </w:tc>
              <w:tc>
                <w:tcPr>
                  <w:tcW w:w="1501" w:type="dxa"/>
                  <w:noWrap w:val="0"/>
                  <w:vAlign w:val="center"/>
                </w:tcPr>
                <w:p w14:paraId="26C9D265">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消防水池</w:t>
                  </w:r>
                </w:p>
              </w:tc>
              <w:tc>
                <w:tcPr>
                  <w:tcW w:w="5860" w:type="dxa"/>
                  <w:noWrap w:val="0"/>
                  <w:vAlign w:val="center"/>
                </w:tcPr>
                <w:p w14:paraId="7E0B2455">
                  <w:pPr>
                    <w:pStyle w:val="24"/>
                    <w:keepNext w:val="0"/>
                    <w:keepLines w:val="0"/>
                    <w:pageBreakBefore w:val="0"/>
                    <w:kinsoku/>
                    <w:wordWrap/>
                    <w:overflowPunct/>
                    <w:topLinePunct w:val="0"/>
                    <w:bidi w:val="0"/>
                    <w:adjustRightInd w:val="0"/>
                    <w:snapToGrid w:val="0"/>
                    <w:jc w:val="center"/>
                    <w:textAlignment w:val="auto"/>
                    <w:rPr>
                      <w:rFonts w:hint="eastAsia" w:eastAsia="宋体"/>
                      <w:color w:val="auto"/>
                      <w:lang w:val="en-US" w:eastAsia="zh-CN"/>
                    </w:rPr>
                  </w:pPr>
                  <w:r>
                    <w:rPr>
                      <w:rFonts w:hint="eastAsia" w:ascii="Times New Roman" w:hAnsi="Times New Roman" w:eastAsia="宋体" w:cs="Times New Roman"/>
                      <w:b w:val="0"/>
                      <w:bCs/>
                      <w:color w:val="auto"/>
                      <w:sz w:val="21"/>
                      <w:szCs w:val="21"/>
                      <w:lang w:val="en-US" w:eastAsia="zh-CN"/>
                    </w:rPr>
                    <w:t>本项目</w:t>
                  </w:r>
                  <w:r>
                    <w:rPr>
                      <w:rFonts w:hint="eastAsia" w:cs="Times New Roman"/>
                      <w:b w:val="0"/>
                      <w:bCs/>
                      <w:color w:val="auto"/>
                      <w:sz w:val="21"/>
                      <w:szCs w:val="21"/>
                      <w:lang w:val="en-US" w:eastAsia="zh-CN"/>
                    </w:rPr>
                    <w:t>拟</w:t>
                  </w:r>
                  <w:r>
                    <w:rPr>
                      <w:rFonts w:hint="eastAsia" w:ascii="Times New Roman" w:hAnsi="Times New Roman" w:eastAsia="宋体" w:cs="Times New Roman"/>
                      <w:b w:val="0"/>
                      <w:bCs/>
                      <w:color w:val="auto"/>
                      <w:sz w:val="21"/>
                      <w:szCs w:val="21"/>
                      <w:lang w:val="en-US" w:eastAsia="zh-CN"/>
                    </w:rPr>
                    <w:t>建</w:t>
                  </w:r>
                  <w:r>
                    <w:rPr>
                      <w:rFonts w:hint="eastAsia" w:cs="Times New Roman"/>
                      <w:b w:val="0"/>
                      <w:bCs/>
                      <w:color w:val="auto"/>
                      <w:sz w:val="21"/>
                      <w:szCs w:val="21"/>
                      <w:lang w:val="en-US" w:eastAsia="zh-CN"/>
                    </w:rPr>
                    <w:t>1座400</w:t>
                  </w:r>
                  <w:r>
                    <w:rPr>
                      <w:rFonts w:hint="eastAsia" w:ascii="Times New Roman" w:hAnsi="Times New Roman" w:eastAsia="宋体" w:cs="Times New Roman"/>
                      <w:b w:val="0"/>
                      <w:bCs/>
                      <w:color w:val="auto"/>
                      <w:sz w:val="21"/>
                      <w:szCs w:val="21"/>
                      <w:lang w:val="en-US" w:eastAsia="zh-CN"/>
                    </w:rPr>
                    <w:t>m</w:t>
                  </w:r>
                  <w:r>
                    <w:rPr>
                      <w:rFonts w:hint="eastAsia" w:ascii="Times New Roman" w:hAnsi="Times New Roman" w:eastAsia="宋体" w:cs="Times New Roman"/>
                      <w:b w:val="0"/>
                      <w:bCs/>
                      <w:color w:val="auto"/>
                      <w:sz w:val="21"/>
                      <w:szCs w:val="21"/>
                      <w:vertAlign w:val="superscript"/>
                      <w:lang w:val="en-US" w:eastAsia="zh-CN"/>
                    </w:rPr>
                    <w:t>3</w:t>
                  </w:r>
                  <w:r>
                    <w:rPr>
                      <w:rFonts w:hint="eastAsia" w:cs="Times New Roman"/>
                      <w:b w:val="0"/>
                      <w:bCs/>
                      <w:color w:val="auto"/>
                      <w:sz w:val="21"/>
                      <w:szCs w:val="21"/>
                      <w:vertAlign w:val="baseline"/>
                      <w:lang w:val="en-US" w:eastAsia="zh-CN"/>
                    </w:rPr>
                    <w:t>的</w:t>
                  </w:r>
                  <w:r>
                    <w:rPr>
                      <w:rFonts w:hint="eastAsia"/>
                      <w:color w:val="auto"/>
                      <w:sz w:val="21"/>
                      <w:szCs w:val="21"/>
                      <w:lang w:val="en-US" w:eastAsia="zh-CN"/>
                    </w:rPr>
                    <w:t>消防</w:t>
                  </w:r>
                  <w:r>
                    <w:rPr>
                      <w:rFonts w:hint="eastAsia" w:cs="Times New Roman"/>
                      <w:b w:val="0"/>
                      <w:bCs/>
                      <w:color w:val="auto"/>
                      <w:sz w:val="21"/>
                      <w:szCs w:val="21"/>
                      <w:lang w:val="en-US" w:eastAsia="zh-CN"/>
                    </w:rPr>
                    <w:t>水池</w:t>
                  </w:r>
                  <w:r>
                    <w:rPr>
                      <w:rFonts w:hint="eastAsia" w:ascii="Times New Roman" w:hAnsi="Times New Roman" w:eastAsia="宋体" w:cs="Times New Roman"/>
                      <w:b w:val="0"/>
                      <w:bCs/>
                      <w:color w:val="auto"/>
                      <w:sz w:val="21"/>
                      <w:szCs w:val="21"/>
                      <w:lang w:val="en-US" w:eastAsia="zh-CN"/>
                    </w:rPr>
                    <w:t>，位于</w:t>
                  </w:r>
                  <w:r>
                    <w:rPr>
                      <w:rFonts w:hint="eastAsia" w:cs="Times New Roman"/>
                      <w:b w:val="0"/>
                      <w:bCs/>
                      <w:color w:val="auto"/>
                      <w:sz w:val="21"/>
                      <w:szCs w:val="21"/>
                      <w:lang w:val="en-US" w:eastAsia="zh-CN"/>
                    </w:rPr>
                    <w:t>厂区西侧</w:t>
                  </w:r>
                  <w:r>
                    <w:rPr>
                      <w:rFonts w:hint="eastAsia" w:ascii="Times New Roman" w:hAnsi="Times New Roman" w:eastAsia="宋体" w:cs="Times New Roman"/>
                      <w:b w:val="0"/>
                      <w:bCs/>
                      <w:color w:val="auto"/>
                      <w:sz w:val="21"/>
                      <w:szCs w:val="21"/>
                      <w:lang w:val="en-US" w:eastAsia="zh-CN"/>
                    </w:rPr>
                    <w:t>，补水水源来自园区供水管网</w:t>
                  </w:r>
                </w:p>
              </w:tc>
            </w:tr>
            <w:tr w14:paraId="16C3F7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5A2DED0F">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7</w:t>
                  </w:r>
                </w:p>
              </w:tc>
              <w:tc>
                <w:tcPr>
                  <w:tcW w:w="445" w:type="dxa"/>
                  <w:vMerge w:val="continue"/>
                  <w:noWrap w:val="0"/>
                  <w:vAlign w:val="center"/>
                </w:tcPr>
                <w:p w14:paraId="58CDF618">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300D4319">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ascii="Times New Roman" w:hAnsi="Times New Roman" w:cs="Times New Roman"/>
                      <w:color w:val="auto"/>
                      <w:kern w:val="0"/>
                      <w:sz w:val="21"/>
                      <w:szCs w:val="21"/>
                      <w:lang w:val="en-US" w:eastAsia="zh-CN"/>
                    </w:rPr>
                    <w:t>办公楼</w:t>
                  </w:r>
                </w:p>
              </w:tc>
              <w:tc>
                <w:tcPr>
                  <w:tcW w:w="5860" w:type="dxa"/>
                  <w:noWrap w:val="0"/>
                  <w:vAlign w:val="center"/>
                </w:tcPr>
                <w:p w14:paraId="503AD4C1">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default" w:ascii="Times New Roman" w:hAnsi="Times New Roman" w:cs="Times New Roman"/>
                      <w:b w:val="0"/>
                      <w:bCs/>
                      <w:color w:val="auto"/>
                      <w:spacing w:val="4"/>
                      <w:sz w:val="21"/>
                      <w:szCs w:val="21"/>
                      <w:lang w:eastAsia="zh-CN"/>
                    </w:rPr>
                    <w:t>占地面积：</w:t>
                  </w:r>
                  <w:r>
                    <w:rPr>
                      <w:rFonts w:hint="eastAsia" w:cs="Times New Roman"/>
                      <w:b w:val="0"/>
                      <w:bCs/>
                      <w:color w:val="auto"/>
                      <w:spacing w:val="4"/>
                      <w:sz w:val="21"/>
                      <w:szCs w:val="21"/>
                      <w:lang w:val="en-US" w:eastAsia="zh-CN"/>
                    </w:rPr>
                    <w:t>465.5</w:t>
                  </w:r>
                  <w:r>
                    <w:rPr>
                      <w:rFonts w:hint="default" w:ascii="Times New Roman" w:hAnsi="Times New Roman" w:cs="Times New Roman"/>
                      <w:b w:val="0"/>
                      <w:bCs/>
                      <w:color w:val="auto"/>
                      <w:spacing w:val="4"/>
                      <w:sz w:val="21"/>
                      <w:szCs w:val="21"/>
                      <w:lang w:val="en-US" w:eastAsia="zh-CN"/>
                    </w:rPr>
                    <w:t>m</w:t>
                  </w:r>
                  <w:r>
                    <w:rPr>
                      <w:rFonts w:hint="default" w:ascii="Times New Roman" w:hAnsi="Times New Roman" w:cs="Times New Roman"/>
                      <w:b w:val="0"/>
                      <w:bCs/>
                      <w:color w:val="auto"/>
                      <w:spacing w:val="4"/>
                      <w:sz w:val="21"/>
                      <w:szCs w:val="21"/>
                      <w:vertAlign w:val="superscript"/>
                      <w:lang w:val="en-US" w:eastAsia="zh-CN"/>
                    </w:rPr>
                    <w:t>2</w:t>
                  </w:r>
                  <w:r>
                    <w:rPr>
                      <w:rFonts w:hint="default" w:ascii="Times New Roman" w:hAnsi="Times New Roman" w:cs="Times New Roman"/>
                      <w:b w:val="0"/>
                      <w:bCs/>
                      <w:color w:val="auto"/>
                      <w:spacing w:val="4"/>
                      <w:sz w:val="21"/>
                      <w:szCs w:val="21"/>
                      <w:lang w:val="en-US" w:eastAsia="zh-CN"/>
                    </w:rPr>
                    <w:t>，建筑面积：</w:t>
                  </w:r>
                  <w:r>
                    <w:rPr>
                      <w:rFonts w:hint="eastAsia" w:cs="Times New Roman"/>
                      <w:color w:val="auto"/>
                      <w:kern w:val="0"/>
                      <w:sz w:val="21"/>
                      <w:szCs w:val="21"/>
                      <w:lang w:val="en-US" w:eastAsia="zh-CN"/>
                    </w:rPr>
                    <w:t>1396.5</w:t>
                  </w:r>
                  <w:r>
                    <w:rPr>
                      <w:rFonts w:hint="default" w:ascii="Times New Roman" w:hAnsi="Times New Roman" w:cs="Times New Roman"/>
                      <w:b w:val="0"/>
                      <w:bCs/>
                      <w:color w:val="auto"/>
                      <w:spacing w:val="4"/>
                      <w:sz w:val="21"/>
                      <w:szCs w:val="21"/>
                      <w:lang w:val="en-US" w:eastAsia="zh-CN"/>
                    </w:rPr>
                    <w:t>m</w:t>
                  </w:r>
                  <w:r>
                    <w:rPr>
                      <w:rFonts w:hint="default" w:ascii="Times New Roman" w:hAnsi="Times New Roman" w:cs="Times New Roman"/>
                      <w:b w:val="0"/>
                      <w:bCs/>
                      <w:color w:val="auto"/>
                      <w:spacing w:val="4"/>
                      <w:sz w:val="21"/>
                      <w:szCs w:val="21"/>
                      <w:vertAlign w:val="superscript"/>
                      <w:lang w:val="en-US" w:eastAsia="zh-CN"/>
                    </w:rPr>
                    <w:t>2</w:t>
                  </w:r>
                  <w:r>
                    <w:rPr>
                      <w:rFonts w:hint="default" w:ascii="Times New Roman" w:hAnsi="Times New Roman" w:cs="Times New Roman"/>
                      <w:b w:val="0"/>
                      <w:bCs/>
                      <w:color w:val="auto"/>
                      <w:spacing w:val="4"/>
                      <w:sz w:val="21"/>
                      <w:szCs w:val="21"/>
                      <w:lang w:val="en-US" w:eastAsia="zh-CN"/>
                    </w:rPr>
                    <w:t>，</w:t>
                  </w:r>
                  <w:r>
                    <w:rPr>
                      <w:rFonts w:hint="eastAsia" w:cs="Times New Roman"/>
                      <w:b w:val="0"/>
                      <w:bCs/>
                      <w:color w:val="auto"/>
                      <w:spacing w:val="4"/>
                      <w:sz w:val="21"/>
                      <w:szCs w:val="21"/>
                      <w:lang w:val="en-US" w:eastAsia="zh-CN"/>
                    </w:rPr>
                    <w:t>3</w:t>
                  </w:r>
                  <w:r>
                    <w:rPr>
                      <w:rFonts w:hint="default" w:ascii="Times New Roman" w:hAnsi="Times New Roman" w:cs="Times New Roman"/>
                      <w:b w:val="0"/>
                      <w:bCs/>
                      <w:color w:val="auto"/>
                      <w:spacing w:val="4"/>
                      <w:sz w:val="21"/>
                      <w:szCs w:val="21"/>
                      <w:lang w:val="en-US" w:eastAsia="zh-CN"/>
                    </w:rPr>
                    <w:t>F</w:t>
                  </w:r>
                  <w:r>
                    <w:rPr>
                      <w:rFonts w:hint="eastAsia" w:cs="Times New Roman"/>
                      <w:b w:val="0"/>
                      <w:bCs/>
                      <w:color w:val="auto"/>
                      <w:spacing w:val="4"/>
                      <w:sz w:val="21"/>
                      <w:szCs w:val="21"/>
                      <w:lang w:val="en-US" w:eastAsia="zh-CN"/>
                    </w:rPr>
                    <w:t>（-1）</w:t>
                  </w:r>
                  <w:r>
                    <w:rPr>
                      <w:rFonts w:hint="default" w:ascii="Times New Roman" w:hAnsi="Times New Roman" w:cs="Times New Roman"/>
                      <w:b w:val="0"/>
                      <w:bCs/>
                      <w:color w:val="auto"/>
                      <w:spacing w:val="4"/>
                      <w:sz w:val="21"/>
                      <w:szCs w:val="21"/>
                      <w:lang w:val="en-US" w:eastAsia="zh-CN"/>
                    </w:rPr>
                    <w:t>，建筑高度</w:t>
                  </w:r>
                  <w:r>
                    <w:rPr>
                      <w:rFonts w:hint="eastAsia" w:cs="Times New Roman"/>
                      <w:color w:val="auto"/>
                      <w:kern w:val="0"/>
                      <w:sz w:val="21"/>
                      <w:szCs w:val="21"/>
                      <w:lang w:val="en-US" w:eastAsia="zh-CN"/>
                    </w:rPr>
                    <w:t>12.3</w:t>
                  </w:r>
                  <w:r>
                    <w:rPr>
                      <w:rFonts w:hint="default" w:ascii="Times New Roman" w:hAnsi="Times New Roman" w:cs="Times New Roman"/>
                      <w:b w:val="0"/>
                      <w:bCs/>
                      <w:color w:val="auto"/>
                      <w:spacing w:val="4"/>
                      <w:sz w:val="21"/>
                      <w:szCs w:val="21"/>
                      <w:lang w:val="en-US" w:eastAsia="zh-CN"/>
                    </w:rPr>
                    <w:t>m，</w:t>
                  </w:r>
                  <w:r>
                    <w:rPr>
                      <w:rFonts w:hint="default" w:ascii="Times New Roman" w:hAnsi="Times New Roman" w:cs="Times New Roman"/>
                      <w:color w:val="auto"/>
                      <w:kern w:val="0"/>
                      <w:sz w:val="21"/>
                      <w:szCs w:val="21"/>
                      <w:lang w:val="en-US" w:eastAsia="zh-CN"/>
                    </w:rPr>
                    <w:t>框架</w:t>
                  </w:r>
                  <w:r>
                    <w:rPr>
                      <w:rFonts w:hint="eastAsia" w:ascii="Times New Roman" w:hAnsi="Times New Roman" w:cs="Times New Roman"/>
                      <w:color w:val="auto"/>
                      <w:kern w:val="0"/>
                      <w:sz w:val="21"/>
                      <w:szCs w:val="21"/>
                      <w:lang w:val="en-US" w:eastAsia="zh-CN"/>
                    </w:rPr>
                    <w:t>结构</w:t>
                  </w:r>
                  <w:r>
                    <w:rPr>
                      <w:rFonts w:hint="default" w:ascii="Times New Roman" w:hAnsi="Times New Roman" w:cs="Times New Roman"/>
                      <w:b w:val="0"/>
                      <w:bCs/>
                      <w:color w:val="auto"/>
                      <w:spacing w:val="4"/>
                      <w:sz w:val="21"/>
                      <w:szCs w:val="21"/>
                      <w:lang w:val="en-US" w:eastAsia="zh-CN"/>
                    </w:rPr>
                    <w:t>，</w:t>
                  </w:r>
                  <w:r>
                    <w:rPr>
                      <w:rFonts w:hint="eastAsia" w:ascii="Times New Roman" w:hAnsi="Times New Roman" w:eastAsia="宋体" w:cs="Times New Roman"/>
                      <w:b w:val="0"/>
                      <w:bCs/>
                      <w:color w:val="auto"/>
                      <w:spacing w:val="4"/>
                      <w:sz w:val="21"/>
                      <w:szCs w:val="21"/>
                      <w:lang w:eastAsia="zh-CN"/>
                    </w:rPr>
                    <w:t>火灾危险性类别为</w:t>
                  </w:r>
                  <w:r>
                    <w:rPr>
                      <w:rFonts w:hint="eastAsia" w:cs="Times New Roman"/>
                      <w:b w:val="0"/>
                      <w:bCs/>
                      <w:color w:val="auto"/>
                      <w:spacing w:val="4"/>
                      <w:sz w:val="21"/>
                      <w:szCs w:val="21"/>
                      <w:lang w:val="en-US" w:eastAsia="zh-CN"/>
                    </w:rPr>
                    <w:t>民用建筑，</w:t>
                  </w:r>
                  <w:r>
                    <w:rPr>
                      <w:rFonts w:hint="eastAsia" w:ascii="Times New Roman" w:hAnsi="Times New Roman" w:eastAsia="宋体" w:cs="Times New Roman"/>
                      <w:b w:val="0"/>
                      <w:bCs/>
                      <w:color w:val="auto"/>
                      <w:spacing w:val="4"/>
                      <w:sz w:val="21"/>
                      <w:szCs w:val="21"/>
                      <w:lang w:eastAsia="zh-CN"/>
                    </w:rPr>
                    <w:t>耐火等级为</w:t>
                  </w:r>
                  <w:r>
                    <w:rPr>
                      <w:rFonts w:hint="eastAsia" w:cs="Times New Roman"/>
                      <w:b w:val="0"/>
                      <w:bCs/>
                      <w:color w:val="auto"/>
                      <w:spacing w:val="4"/>
                      <w:sz w:val="21"/>
                      <w:szCs w:val="21"/>
                      <w:lang w:val="en-US" w:eastAsia="zh-CN"/>
                    </w:rPr>
                    <w:t>二级，拟设</w:t>
                  </w:r>
                  <w:r>
                    <w:rPr>
                      <w:rFonts w:hint="eastAsia" w:ascii="Times New Roman" w:hAnsi="Times New Roman" w:eastAsia="宋体" w:cs="Times New Roman"/>
                      <w:color w:val="auto"/>
                      <w:kern w:val="0"/>
                      <w:sz w:val="21"/>
                      <w:szCs w:val="21"/>
                      <w:lang w:val="en-US" w:eastAsia="zh-CN"/>
                    </w:rPr>
                    <w:t>变配电间</w:t>
                  </w:r>
                  <w:r>
                    <w:rPr>
                      <w:rFonts w:hint="eastAsia" w:cs="Times New Roman"/>
                      <w:color w:val="auto"/>
                      <w:kern w:val="0"/>
                      <w:sz w:val="21"/>
                      <w:szCs w:val="21"/>
                      <w:lang w:val="en-US" w:eastAsia="zh-CN"/>
                    </w:rPr>
                    <w:t>、消防控制室建筑面积151.9m</w:t>
                  </w:r>
                  <w:r>
                    <w:rPr>
                      <w:rFonts w:hint="eastAsia" w:cs="Times New Roman"/>
                      <w:color w:val="auto"/>
                      <w:kern w:val="0"/>
                      <w:sz w:val="21"/>
                      <w:szCs w:val="21"/>
                      <w:vertAlign w:val="superscript"/>
                      <w:lang w:val="en-US" w:eastAsia="zh-CN"/>
                    </w:rPr>
                    <w:t>2</w:t>
                  </w:r>
                  <w:r>
                    <w:rPr>
                      <w:rFonts w:hint="eastAsia" w:cs="Times New Roman"/>
                      <w:color w:val="auto"/>
                      <w:kern w:val="0"/>
                      <w:sz w:val="21"/>
                      <w:szCs w:val="21"/>
                      <w:vertAlign w:val="baseline"/>
                      <w:lang w:val="en-US" w:eastAsia="zh-CN"/>
                    </w:rPr>
                    <w:t>；</w:t>
                  </w:r>
                </w:p>
              </w:tc>
            </w:tr>
            <w:tr w14:paraId="19B890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7A1AD293">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8</w:t>
                  </w:r>
                </w:p>
              </w:tc>
              <w:tc>
                <w:tcPr>
                  <w:tcW w:w="445" w:type="dxa"/>
                  <w:vMerge w:val="continue"/>
                  <w:noWrap w:val="0"/>
                  <w:vAlign w:val="center"/>
                </w:tcPr>
                <w:p w14:paraId="2F4E629E">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70E9E62A">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消防配套设施</w:t>
                  </w:r>
                </w:p>
              </w:tc>
              <w:tc>
                <w:tcPr>
                  <w:tcW w:w="5860" w:type="dxa"/>
                  <w:noWrap w:val="0"/>
                  <w:vAlign w:val="center"/>
                </w:tcPr>
                <w:p w14:paraId="48E5571D">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办公楼内设置消防水泵房及变配电间等附属设施</w:t>
                  </w:r>
                </w:p>
              </w:tc>
            </w:tr>
            <w:tr w14:paraId="1D8435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23F75D05">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9</w:t>
                  </w:r>
                </w:p>
              </w:tc>
              <w:tc>
                <w:tcPr>
                  <w:tcW w:w="445" w:type="dxa"/>
                  <w:vMerge w:val="restart"/>
                  <w:noWrap w:val="0"/>
                  <w:vAlign w:val="center"/>
                </w:tcPr>
                <w:p w14:paraId="1AE04678">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公用工程</w:t>
                  </w:r>
                </w:p>
              </w:tc>
              <w:tc>
                <w:tcPr>
                  <w:tcW w:w="1501" w:type="dxa"/>
                  <w:noWrap w:val="0"/>
                  <w:vAlign w:val="center"/>
                </w:tcPr>
                <w:p w14:paraId="3C1D8A46">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供水</w:t>
                  </w:r>
                </w:p>
              </w:tc>
              <w:tc>
                <w:tcPr>
                  <w:tcW w:w="5860" w:type="dxa"/>
                  <w:noWrap w:val="0"/>
                  <w:vAlign w:val="center"/>
                </w:tcPr>
                <w:p w14:paraId="0275DF52">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由园区市政供水管网提供，用水量为250m</w:t>
                  </w:r>
                  <w:r>
                    <w:rPr>
                      <w:rFonts w:hint="eastAsia"/>
                      <w:color w:val="auto"/>
                      <w:vertAlign w:val="superscript"/>
                      <w:lang w:val="en-US" w:eastAsia="zh-CN"/>
                    </w:rPr>
                    <w:t>3</w:t>
                  </w:r>
                  <w:r>
                    <w:rPr>
                      <w:rFonts w:hint="eastAsia"/>
                      <w:color w:val="auto"/>
                      <w:lang w:val="en-US" w:eastAsia="zh-CN"/>
                    </w:rPr>
                    <w:t>/a</w:t>
                  </w:r>
                </w:p>
              </w:tc>
            </w:tr>
            <w:tr w14:paraId="4EDEA3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764E9E73">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10</w:t>
                  </w:r>
                </w:p>
              </w:tc>
              <w:tc>
                <w:tcPr>
                  <w:tcW w:w="445" w:type="dxa"/>
                  <w:vMerge w:val="continue"/>
                  <w:noWrap w:val="0"/>
                  <w:vAlign w:val="center"/>
                </w:tcPr>
                <w:p w14:paraId="7D53FF2A">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4B9F1DEE">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排水</w:t>
                  </w:r>
                </w:p>
              </w:tc>
              <w:tc>
                <w:tcPr>
                  <w:tcW w:w="5860" w:type="dxa"/>
                  <w:noWrap w:val="0"/>
                  <w:vAlign w:val="center"/>
                </w:tcPr>
                <w:p w14:paraId="450EC0BB">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本项目主要为生活废水、废水经化粪池预处理后，排入园区污水管网，最后排入新材料产业园污水处理厂，总排水量为200m</w:t>
                  </w:r>
                  <w:r>
                    <w:rPr>
                      <w:rFonts w:hint="eastAsia"/>
                      <w:color w:val="auto"/>
                      <w:vertAlign w:val="superscript"/>
                      <w:lang w:val="en-US" w:eastAsia="zh-CN"/>
                    </w:rPr>
                    <w:t>3</w:t>
                  </w:r>
                  <w:r>
                    <w:rPr>
                      <w:rFonts w:hint="eastAsia"/>
                      <w:color w:val="auto"/>
                      <w:lang w:val="en-US" w:eastAsia="zh-CN"/>
                    </w:rPr>
                    <w:t>/a</w:t>
                  </w:r>
                </w:p>
              </w:tc>
            </w:tr>
            <w:tr w14:paraId="0F5A69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546628EB">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11</w:t>
                  </w:r>
                </w:p>
              </w:tc>
              <w:tc>
                <w:tcPr>
                  <w:tcW w:w="445" w:type="dxa"/>
                  <w:vMerge w:val="continue"/>
                  <w:noWrap w:val="0"/>
                  <w:vAlign w:val="center"/>
                </w:tcPr>
                <w:p w14:paraId="1E480FFC">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26360749">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供电</w:t>
                  </w:r>
                </w:p>
              </w:tc>
              <w:tc>
                <w:tcPr>
                  <w:tcW w:w="5860" w:type="dxa"/>
                  <w:noWrap w:val="0"/>
                  <w:vAlign w:val="center"/>
                </w:tcPr>
                <w:p w14:paraId="1C7C8D46">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本项目供电电源引自市政供电系统，提供一路10kV高压外接电源引至厂区的1台200kVA箱式变压器经降压至380/220V后，埋地引入配电室总配电柜，为本项目提供动力、照明电源。本项目设1台140kW柴油发电机，能够满足本项目用电需求。</w:t>
                  </w:r>
                </w:p>
              </w:tc>
            </w:tr>
            <w:tr w14:paraId="5FFDC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092AD298">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12</w:t>
                  </w:r>
                </w:p>
              </w:tc>
              <w:tc>
                <w:tcPr>
                  <w:tcW w:w="445" w:type="dxa"/>
                  <w:vMerge w:val="continue"/>
                  <w:noWrap w:val="0"/>
                  <w:vAlign w:val="center"/>
                </w:tcPr>
                <w:p w14:paraId="11B76052">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55CA4DB8">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供暖</w:t>
                  </w:r>
                </w:p>
              </w:tc>
              <w:tc>
                <w:tcPr>
                  <w:tcW w:w="5860" w:type="dxa"/>
                  <w:noWrap w:val="0"/>
                  <w:vAlign w:val="center"/>
                </w:tcPr>
                <w:p w14:paraId="2EE2F83E">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由市政供暖管网提供</w:t>
                  </w:r>
                </w:p>
              </w:tc>
            </w:tr>
            <w:tr w14:paraId="0E4E62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775A2EC7">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13</w:t>
                  </w:r>
                </w:p>
              </w:tc>
              <w:tc>
                <w:tcPr>
                  <w:tcW w:w="445" w:type="dxa"/>
                  <w:vMerge w:val="restart"/>
                  <w:noWrap w:val="0"/>
                  <w:vAlign w:val="center"/>
                </w:tcPr>
                <w:p w14:paraId="23CDED49">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环保工程</w:t>
                  </w:r>
                </w:p>
              </w:tc>
              <w:tc>
                <w:tcPr>
                  <w:tcW w:w="1501" w:type="dxa"/>
                  <w:noWrap w:val="0"/>
                  <w:vAlign w:val="center"/>
                </w:tcPr>
                <w:p w14:paraId="34A5ADF3">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废水治理</w:t>
                  </w:r>
                </w:p>
              </w:tc>
              <w:tc>
                <w:tcPr>
                  <w:tcW w:w="5860" w:type="dxa"/>
                  <w:noWrap w:val="0"/>
                  <w:vAlign w:val="center"/>
                </w:tcPr>
                <w:p w14:paraId="2BB1C4A2">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本项目主要为生活废水，生活废水经化粪池处理后，排入园区污水管网，最后排入新材料产业园污水处理厂处理</w:t>
                  </w:r>
                </w:p>
              </w:tc>
            </w:tr>
            <w:tr w14:paraId="5B67C6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0A7DCC99">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14</w:t>
                  </w:r>
                </w:p>
              </w:tc>
              <w:tc>
                <w:tcPr>
                  <w:tcW w:w="445" w:type="dxa"/>
                  <w:vMerge w:val="continue"/>
                  <w:noWrap w:val="0"/>
                  <w:vAlign w:val="center"/>
                </w:tcPr>
                <w:p w14:paraId="2BA4000E">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3CC8AD3B">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废气治理</w:t>
                  </w:r>
                </w:p>
              </w:tc>
              <w:tc>
                <w:tcPr>
                  <w:tcW w:w="5860" w:type="dxa"/>
                  <w:noWrap w:val="0"/>
                  <w:vAlign w:val="center"/>
                </w:tcPr>
                <w:p w14:paraId="79AC52A9">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无组织废气通过排风系统排出</w:t>
                  </w:r>
                </w:p>
              </w:tc>
            </w:tr>
            <w:tr w14:paraId="1A8C4E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64F37062">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15</w:t>
                  </w:r>
                </w:p>
              </w:tc>
              <w:tc>
                <w:tcPr>
                  <w:tcW w:w="445" w:type="dxa"/>
                  <w:vMerge w:val="continue"/>
                  <w:noWrap w:val="0"/>
                  <w:vAlign w:val="center"/>
                </w:tcPr>
                <w:p w14:paraId="08F7A644">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2550DD84">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噪声治理</w:t>
                  </w:r>
                </w:p>
              </w:tc>
              <w:tc>
                <w:tcPr>
                  <w:tcW w:w="5860" w:type="dxa"/>
                  <w:noWrap w:val="0"/>
                  <w:vAlign w:val="center"/>
                </w:tcPr>
                <w:p w14:paraId="6B681FFB">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选用低噪声环保型设备，设置减振及隔声罩</w:t>
                  </w:r>
                </w:p>
              </w:tc>
            </w:tr>
            <w:tr w14:paraId="294B57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29EEB126">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16</w:t>
                  </w:r>
                </w:p>
              </w:tc>
              <w:tc>
                <w:tcPr>
                  <w:tcW w:w="445" w:type="dxa"/>
                  <w:vMerge w:val="continue"/>
                  <w:noWrap w:val="0"/>
                  <w:vAlign w:val="center"/>
                </w:tcPr>
                <w:p w14:paraId="75BCB1B2">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5D52FE68">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固体废物治理</w:t>
                  </w:r>
                </w:p>
              </w:tc>
              <w:tc>
                <w:tcPr>
                  <w:tcW w:w="5860" w:type="dxa"/>
                  <w:noWrap w:val="0"/>
                  <w:vAlign w:val="center"/>
                </w:tcPr>
                <w:p w14:paraId="28FDDA82">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员工生活垃圾由环卫部门统一处理；</w:t>
                  </w:r>
                </w:p>
                <w:p w14:paraId="3B04ABD6">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危险废物由有资质的单位回收处理</w:t>
                  </w:r>
                </w:p>
              </w:tc>
            </w:tr>
            <w:tr w14:paraId="36B562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7B369AA5">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17</w:t>
                  </w:r>
                </w:p>
              </w:tc>
              <w:tc>
                <w:tcPr>
                  <w:tcW w:w="445" w:type="dxa"/>
                  <w:vMerge w:val="restart"/>
                  <w:noWrap w:val="0"/>
                  <w:vAlign w:val="center"/>
                </w:tcPr>
                <w:p w14:paraId="0508666F">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default"/>
                      <w:color w:val="auto"/>
                      <w:lang w:val="en-US" w:eastAsia="zh-CN"/>
                    </w:rPr>
                    <w:t>防渗措施</w:t>
                  </w:r>
                </w:p>
              </w:tc>
              <w:tc>
                <w:tcPr>
                  <w:tcW w:w="1501" w:type="dxa"/>
                  <w:noWrap w:val="0"/>
                  <w:vAlign w:val="center"/>
                </w:tcPr>
                <w:p w14:paraId="3A059605">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重点防渗区</w:t>
                  </w:r>
                </w:p>
              </w:tc>
              <w:tc>
                <w:tcPr>
                  <w:tcW w:w="5860" w:type="dxa"/>
                  <w:noWrap w:val="0"/>
                  <w:vAlign w:val="center"/>
                </w:tcPr>
                <w:p w14:paraId="6E875901">
                  <w:pPr>
                    <w:pStyle w:val="24"/>
                    <w:keepNext w:val="0"/>
                    <w:keepLines w:val="0"/>
                    <w:pageBreakBefore w:val="0"/>
                    <w:kinsoku/>
                    <w:wordWrap/>
                    <w:overflowPunct/>
                    <w:topLinePunct w:val="0"/>
                    <w:bidi w:val="0"/>
                    <w:adjustRightInd w:val="0"/>
                    <w:snapToGrid w:val="0"/>
                    <w:jc w:val="center"/>
                    <w:textAlignment w:val="auto"/>
                    <w:rPr>
                      <w:rFonts w:hint="default"/>
                      <w:color w:val="auto"/>
                      <w:vertAlign w:val="baseline"/>
                      <w:lang w:val="en-US" w:eastAsia="zh-CN"/>
                    </w:rPr>
                  </w:pPr>
                  <w:r>
                    <w:rPr>
                      <w:rFonts w:hint="eastAsia"/>
                      <w:color w:val="auto"/>
                      <w:lang w:val="en-US" w:eastAsia="zh-CN"/>
                    </w:rPr>
                    <w:t>建立一间5m</w:t>
                  </w:r>
                  <w:r>
                    <w:rPr>
                      <w:rFonts w:hint="eastAsia"/>
                      <w:color w:val="auto"/>
                      <w:vertAlign w:val="superscript"/>
                      <w:lang w:val="en-US" w:eastAsia="zh-CN"/>
                    </w:rPr>
                    <w:t>2</w:t>
                  </w:r>
                  <w:r>
                    <w:rPr>
                      <w:rFonts w:hint="eastAsia"/>
                      <w:color w:val="auto"/>
                      <w:vertAlign w:val="baseline"/>
                      <w:lang w:val="en-US" w:eastAsia="zh-CN"/>
                    </w:rPr>
                    <w:t>的危废贮存库，危废贮存库的地面与裙脚采取防渗措施，防渗层为至少1m厚黏土层（渗透系数不大于10</w:t>
                  </w:r>
                  <w:r>
                    <w:rPr>
                      <w:rFonts w:hint="eastAsia"/>
                      <w:color w:val="auto"/>
                      <w:vertAlign w:val="superscript"/>
                      <w:lang w:val="en-US" w:eastAsia="zh-CN"/>
                    </w:rPr>
                    <w:t>-7</w:t>
                  </w:r>
                  <w:r>
                    <w:rPr>
                      <w:rFonts w:hint="eastAsia"/>
                      <w:color w:val="auto"/>
                      <w:vertAlign w:val="baseline"/>
                      <w:lang w:val="en-US" w:eastAsia="zh-CN"/>
                    </w:rPr>
                    <w:t>cm/s），或至少2mm厚高密度聚乙烯膜等人工防渗材料（渗透系数不大于10</w:t>
                  </w:r>
                  <w:r>
                    <w:rPr>
                      <w:rFonts w:hint="eastAsia"/>
                      <w:color w:val="auto"/>
                      <w:vertAlign w:val="superscript"/>
                      <w:lang w:val="en-US" w:eastAsia="zh-CN"/>
                    </w:rPr>
                    <w:t>-10</w:t>
                  </w:r>
                  <w:r>
                    <w:rPr>
                      <w:rFonts w:hint="eastAsia"/>
                      <w:color w:val="auto"/>
                      <w:vertAlign w:val="baseline"/>
                      <w:lang w:val="en-US" w:eastAsia="zh-CN"/>
                    </w:rPr>
                    <w:t>cm/s），或其他防渗性能等效的材料</w:t>
                  </w:r>
                </w:p>
              </w:tc>
            </w:tr>
            <w:tr w14:paraId="642A49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810" w:type="dxa"/>
                  <w:noWrap w:val="0"/>
                  <w:vAlign w:val="center"/>
                </w:tcPr>
                <w:p w14:paraId="14177ED7">
                  <w:pPr>
                    <w:pStyle w:val="24"/>
                    <w:keepNext w:val="0"/>
                    <w:keepLines w:val="0"/>
                    <w:pageBreakBefore w:val="0"/>
                    <w:kinsoku/>
                    <w:wordWrap/>
                    <w:overflowPunct/>
                    <w:topLinePunct w:val="0"/>
                    <w:bidi w:val="0"/>
                    <w:adjustRightInd w:val="0"/>
                    <w:snapToGrid w:val="0"/>
                    <w:jc w:val="center"/>
                    <w:textAlignment w:val="auto"/>
                    <w:rPr>
                      <w:rFonts w:hint="default"/>
                      <w:color w:val="auto"/>
                      <w:lang w:val="en-US" w:eastAsia="zh-CN"/>
                    </w:rPr>
                  </w:pPr>
                  <w:r>
                    <w:rPr>
                      <w:rFonts w:hint="eastAsia"/>
                      <w:color w:val="auto"/>
                      <w:lang w:val="en-US" w:eastAsia="zh-CN"/>
                    </w:rPr>
                    <w:t>18</w:t>
                  </w:r>
                </w:p>
              </w:tc>
              <w:tc>
                <w:tcPr>
                  <w:tcW w:w="445" w:type="dxa"/>
                  <w:vMerge w:val="continue"/>
                  <w:noWrap w:val="0"/>
                  <w:vAlign w:val="center"/>
                </w:tcPr>
                <w:p w14:paraId="55FCC5B7">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p>
              </w:tc>
              <w:tc>
                <w:tcPr>
                  <w:tcW w:w="1501" w:type="dxa"/>
                  <w:noWrap w:val="0"/>
                  <w:vAlign w:val="center"/>
                </w:tcPr>
                <w:p w14:paraId="7DB4E73D">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简单防渗区</w:t>
                  </w:r>
                </w:p>
              </w:tc>
              <w:tc>
                <w:tcPr>
                  <w:tcW w:w="5860" w:type="dxa"/>
                  <w:noWrap w:val="0"/>
                  <w:vAlign w:val="center"/>
                </w:tcPr>
                <w:p w14:paraId="5472DE7D">
                  <w:pPr>
                    <w:pStyle w:val="24"/>
                    <w:keepNext w:val="0"/>
                    <w:keepLines w:val="0"/>
                    <w:pageBreakBefore w:val="0"/>
                    <w:kinsoku/>
                    <w:wordWrap/>
                    <w:overflowPunct/>
                    <w:topLinePunct w:val="0"/>
                    <w:bidi w:val="0"/>
                    <w:adjustRightInd w:val="0"/>
                    <w:snapToGrid w:val="0"/>
                    <w:jc w:val="center"/>
                    <w:textAlignment w:val="auto"/>
                    <w:rPr>
                      <w:rFonts w:hint="eastAsia"/>
                      <w:color w:val="auto"/>
                      <w:lang w:val="en-US" w:eastAsia="zh-CN"/>
                    </w:rPr>
                  </w:pPr>
                  <w:r>
                    <w:rPr>
                      <w:rFonts w:hint="eastAsia"/>
                      <w:color w:val="auto"/>
                      <w:lang w:val="en-US" w:eastAsia="zh-CN"/>
                    </w:rPr>
                    <w:t>其余区域采取一般地面硬化措施</w:t>
                  </w:r>
                </w:p>
              </w:tc>
            </w:tr>
          </w:tbl>
          <w:p w14:paraId="6E20B516">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项目主要原辅材料及能耗、生产单元、工艺及设施</w:t>
            </w:r>
          </w:p>
          <w:p w14:paraId="30909492">
            <w:pPr>
              <w:pStyle w:val="23"/>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本项目建成后全厂原辅料情况详见表2-2、2-3。</w:t>
            </w:r>
          </w:p>
          <w:p w14:paraId="588F2C91">
            <w:pPr>
              <w:pStyle w:val="25"/>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表2-2                   主要原辅料情况一览表</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4"/>
              <w:gridCol w:w="797"/>
              <w:gridCol w:w="735"/>
              <w:gridCol w:w="765"/>
              <w:gridCol w:w="1185"/>
              <w:gridCol w:w="1275"/>
              <w:gridCol w:w="1065"/>
              <w:gridCol w:w="2380"/>
            </w:tblGrid>
            <w:tr w14:paraId="57DBF1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414" w:type="dxa"/>
                  <w:noWrap w:val="0"/>
                  <w:vAlign w:val="center"/>
                </w:tcPr>
                <w:p w14:paraId="12ED4A4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序号</w:t>
                  </w:r>
                </w:p>
              </w:tc>
              <w:tc>
                <w:tcPr>
                  <w:tcW w:w="797" w:type="dxa"/>
                  <w:noWrap w:val="0"/>
                  <w:vAlign w:val="center"/>
                </w:tcPr>
                <w:p w14:paraId="42135433">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原料名称</w:t>
                  </w:r>
                </w:p>
              </w:tc>
              <w:tc>
                <w:tcPr>
                  <w:tcW w:w="735" w:type="dxa"/>
                  <w:noWrap w:val="0"/>
                  <w:vAlign w:val="center"/>
                </w:tcPr>
                <w:p w14:paraId="527E8EE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年用量/t</w:t>
                  </w:r>
                </w:p>
              </w:tc>
              <w:tc>
                <w:tcPr>
                  <w:tcW w:w="765" w:type="dxa"/>
                  <w:noWrap w:val="0"/>
                  <w:vAlign w:val="center"/>
                </w:tcPr>
                <w:p w14:paraId="66AF83D8">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包装</w:t>
                  </w:r>
                </w:p>
              </w:tc>
              <w:tc>
                <w:tcPr>
                  <w:tcW w:w="1185" w:type="dxa"/>
                  <w:noWrap w:val="0"/>
                  <w:vAlign w:val="center"/>
                </w:tcPr>
                <w:p w14:paraId="1A3787D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设计最大储存量/t</w:t>
                  </w:r>
                </w:p>
              </w:tc>
              <w:tc>
                <w:tcPr>
                  <w:tcW w:w="1275" w:type="dxa"/>
                  <w:noWrap w:val="0"/>
                  <w:vAlign w:val="center"/>
                </w:tcPr>
                <w:p w14:paraId="2D6684F3">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储存</w:t>
                  </w:r>
                  <w:r>
                    <w:rPr>
                      <w:rFonts w:hint="eastAsia" w:cs="Times New Roman"/>
                      <w:b/>
                      <w:bCs/>
                      <w:color w:val="auto"/>
                      <w:lang w:val="en-US" w:eastAsia="zh-CN"/>
                    </w:rPr>
                    <w:t>方式及储存条件</w:t>
                  </w:r>
                </w:p>
              </w:tc>
              <w:tc>
                <w:tcPr>
                  <w:tcW w:w="1065" w:type="dxa"/>
                  <w:noWrap w:val="0"/>
                  <w:vAlign w:val="center"/>
                </w:tcPr>
                <w:p w14:paraId="56F94B62">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来源及运输方式</w:t>
                  </w:r>
                </w:p>
              </w:tc>
              <w:tc>
                <w:tcPr>
                  <w:tcW w:w="2380" w:type="dxa"/>
                  <w:noWrap w:val="0"/>
                  <w:vAlign w:val="center"/>
                </w:tcPr>
                <w:p w14:paraId="2F84116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备注</w:t>
                  </w:r>
                </w:p>
              </w:tc>
            </w:tr>
            <w:tr w14:paraId="1AD7BC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729D3F5B">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797" w:type="dxa"/>
                  <w:noWrap w:val="0"/>
                  <w:vAlign w:val="center"/>
                </w:tcPr>
                <w:p w14:paraId="11CDD750">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丙烷</w:t>
                  </w:r>
                </w:p>
              </w:tc>
              <w:tc>
                <w:tcPr>
                  <w:tcW w:w="735" w:type="dxa"/>
                  <w:noWrap w:val="0"/>
                  <w:vAlign w:val="center"/>
                </w:tcPr>
                <w:p w14:paraId="0D79CAC6">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1500</w:t>
                  </w:r>
                </w:p>
              </w:tc>
              <w:tc>
                <w:tcPr>
                  <w:tcW w:w="765" w:type="dxa"/>
                  <w:noWrap w:val="0"/>
                  <w:vAlign w:val="center"/>
                </w:tcPr>
                <w:p w14:paraId="6977DD8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储罐</w:t>
                  </w:r>
                </w:p>
              </w:tc>
              <w:tc>
                <w:tcPr>
                  <w:tcW w:w="1185" w:type="dxa"/>
                  <w:noWrap w:val="0"/>
                  <w:vAlign w:val="center"/>
                </w:tcPr>
                <w:p w14:paraId="5B22759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46.4</w:t>
                  </w:r>
                </w:p>
              </w:tc>
              <w:tc>
                <w:tcPr>
                  <w:tcW w:w="1275" w:type="dxa"/>
                  <w:noWrap w:val="0"/>
                  <w:vAlign w:val="center"/>
                </w:tcPr>
                <w:p w14:paraId="7B9C7C4A">
                  <w:pPr>
                    <w:pStyle w:val="24"/>
                    <w:keepNext w:val="0"/>
                    <w:keepLines w:val="0"/>
                    <w:pageBreakBefore w:val="0"/>
                    <w:kinsoku/>
                    <w:wordWrap/>
                    <w:overflowPunct/>
                    <w:topLinePunct w:val="0"/>
                    <w:bidi w:val="0"/>
                    <w:adjustRightInd w:val="0"/>
                    <w:snapToGrid w:val="0"/>
                    <w:jc w:val="center"/>
                    <w:textAlignment w:val="auto"/>
                    <w:rPr>
                      <w:rFonts w:hint="eastAsia" w:cs="Times New Roman"/>
                      <w:color w:val="auto"/>
                      <w:lang w:val="en-US" w:eastAsia="zh-CN"/>
                    </w:rPr>
                  </w:pPr>
                  <w:r>
                    <w:rPr>
                      <w:rFonts w:hint="eastAsia" w:ascii="Times New Roman" w:hAnsi="Times New Roman" w:eastAsia="宋体" w:cs="Times New Roman"/>
                      <w:color w:val="auto"/>
                      <w:lang w:val="en-US" w:eastAsia="zh-CN"/>
                    </w:rPr>
                    <w:t>储罐</w:t>
                  </w:r>
                  <w:r>
                    <w:rPr>
                      <w:rFonts w:hint="eastAsia" w:cs="Times New Roman"/>
                      <w:color w:val="auto"/>
                      <w:lang w:val="en-US" w:eastAsia="zh-CN"/>
                    </w:rPr>
                    <w:t>；</w:t>
                  </w:r>
                </w:p>
                <w:p w14:paraId="5246FE8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50℃/1.6MPa</w:t>
                  </w:r>
                </w:p>
              </w:tc>
              <w:tc>
                <w:tcPr>
                  <w:tcW w:w="1065" w:type="dxa"/>
                  <w:noWrap w:val="0"/>
                  <w:vAlign w:val="center"/>
                </w:tcPr>
                <w:p w14:paraId="39B9236F">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危化车</w:t>
                  </w:r>
                </w:p>
              </w:tc>
              <w:tc>
                <w:tcPr>
                  <w:tcW w:w="2380" w:type="dxa"/>
                  <w:noWrap w:val="0"/>
                  <w:vAlign w:val="center"/>
                </w:tcPr>
                <w:p w14:paraId="65E9277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本项目设置丙烷储罐2个，容积为40m</w:t>
                  </w:r>
                  <w:r>
                    <w:rPr>
                      <w:rFonts w:hint="eastAsia" w:cs="Times New Roman"/>
                      <w:color w:val="auto"/>
                      <w:vertAlign w:val="superscript"/>
                      <w:lang w:val="en-US" w:eastAsia="zh-CN"/>
                    </w:rPr>
                    <w:t>3</w:t>
                  </w:r>
                  <w:r>
                    <w:rPr>
                      <w:rFonts w:hint="eastAsia" w:cs="Times New Roman"/>
                      <w:color w:val="auto"/>
                      <w:lang w:val="en-US" w:eastAsia="zh-CN"/>
                    </w:rPr>
                    <w:t>，密度0.58×10</w:t>
                  </w:r>
                  <w:r>
                    <w:rPr>
                      <w:rFonts w:hint="eastAsia" w:cs="Times New Roman"/>
                      <w:color w:val="auto"/>
                      <w:vertAlign w:val="superscript"/>
                      <w:lang w:val="en-US" w:eastAsia="zh-CN"/>
                    </w:rPr>
                    <w:t>3</w:t>
                  </w:r>
                  <w:r>
                    <w:rPr>
                      <w:rFonts w:hint="eastAsia" w:cs="Times New Roman"/>
                      <w:color w:val="auto"/>
                      <w:lang w:val="en-US" w:eastAsia="zh-CN"/>
                    </w:rPr>
                    <w:t>kg/m</w:t>
                  </w:r>
                  <w:r>
                    <w:rPr>
                      <w:rFonts w:hint="eastAsia" w:cs="Times New Roman"/>
                      <w:color w:val="auto"/>
                      <w:vertAlign w:val="superscript"/>
                      <w:lang w:val="en-US" w:eastAsia="zh-CN"/>
                    </w:rPr>
                    <w:t>3</w:t>
                  </w:r>
                  <w:r>
                    <w:rPr>
                      <w:rFonts w:hint="eastAsia" w:cs="Times New Roman"/>
                      <w:color w:val="auto"/>
                      <w:lang w:val="en-US" w:eastAsia="zh-CN"/>
                    </w:rPr>
                    <w:t>，最大存在量为：46.4t。</w:t>
                  </w:r>
                </w:p>
              </w:tc>
            </w:tr>
            <w:tr w14:paraId="78EE15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dxa"/>
                  <w:noWrap w:val="0"/>
                  <w:vAlign w:val="center"/>
                </w:tcPr>
                <w:p w14:paraId="4419285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797" w:type="dxa"/>
                  <w:noWrap w:val="0"/>
                  <w:vAlign w:val="center"/>
                </w:tcPr>
                <w:p w14:paraId="0D0BA860">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乙炔</w:t>
                  </w:r>
                </w:p>
              </w:tc>
              <w:tc>
                <w:tcPr>
                  <w:tcW w:w="735" w:type="dxa"/>
                  <w:noWrap w:val="0"/>
                  <w:vAlign w:val="center"/>
                </w:tcPr>
                <w:p w14:paraId="259323D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暂定</w:t>
                  </w:r>
                </w:p>
              </w:tc>
              <w:tc>
                <w:tcPr>
                  <w:tcW w:w="765" w:type="dxa"/>
                  <w:noWrap w:val="0"/>
                  <w:vAlign w:val="center"/>
                </w:tcPr>
                <w:p w14:paraId="6A4B6A1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气瓶</w:t>
                  </w:r>
                </w:p>
              </w:tc>
              <w:tc>
                <w:tcPr>
                  <w:tcW w:w="1185" w:type="dxa"/>
                  <w:noWrap w:val="0"/>
                  <w:vAlign w:val="center"/>
                </w:tcPr>
                <w:p w14:paraId="1E1C9EF9">
                  <w:pPr>
                    <w:pStyle w:val="24"/>
                    <w:keepNext w:val="0"/>
                    <w:keepLines w:val="0"/>
                    <w:pageBreakBefore w:val="0"/>
                    <w:kinsoku/>
                    <w:wordWrap/>
                    <w:overflowPunct/>
                    <w:topLinePunct w:val="0"/>
                    <w:bidi w:val="0"/>
                    <w:adjustRightInd w:val="0"/>
                    <w:snapToGrid w:val="0"/>
                    <w:jc w:val="center"/>
                    <w:textAlignment w:val="auto"/>
                    <w:rPr>
                      <w:rFonts w:hint="default" w:cs="Times New Roman"/>
                      <w:color w:val="auto"/>
                      <w:lang w:val="en-US" w:eastAsia="zh-CN"/>
                    </w:rPr>
                  </w:pPr>
                  <w:r>
                    <w:rPr>
                      <w:rFonts w:hint="eastAsia" w:cs="Times New Roman"/>
                      <w:color w:val="auto"/>
                      <w:lang w:val="en-US" w:eastAsia="zh-CN"/>
                    </w:rPr>
                    <w:t>0.3</w:t>
                  </w:r>
                </w:p>
              </w:tc>
              <w:tc>
                <w:tcPr>
                  <w:tcW w:w="1275" w:type="dxa"/>
                  <w:noWrap w:val="0"/>
                  <w:vAlign w:val="center"/>
                </w:tcPr>
                <w:p w14:paraId="47D57AF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钢瓶；常温/2.5MPa</w:t>
                  </w:r>
                </w:p>
              </w:tc>
              <w:tc>
                <w:tcPr>
                  <w:tcW w:w="1065" w:type="dxa"/>
                  <w:noWrap w:val="0"/>
                  <w:vAlign w:val="center"/>
                </w:tcPr>
                <w:p w14:paraId="2361CD18">
                  <w:pPr>
                    <w:pStyle w:val="24"/>
                    <w:keepNext w:val="0"/>
                    <w:keepLines w:val="0"/>
                    <w:pageBreakBefore w:val="0"/>
                    <w:kinsoku/>
                    <w:wordWrap/>
                    <w:overflowPunct/>
                    <w:topLinePunct w:val="0"/>
                    <w:bidi w:val="0"/>
                    <w:adjustRightInd w:val="0"/>
                    <w:snapToGrid w:val="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危化车</w:t>
                  </w:r>
                </w:p>
              </w:tc>
              <w:tc>
                <w:tcPr>
                  <w:tcW w:w="2380" w:type="dxa"/>
                  <w:noWrap w:val="0"/>
                  <w:vAlign w:val="center"/>
                </w:tcPr>
                <w:p w14:paraId="3173953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本项目乙炔属于储存经营，不涉及生产和充装</w:t>
                  </w:r>
                </w:p>
              </w:tc>
            </w:tr>
          </w:tbl>
          <w:p w14:paraId="06E06A2D">
            <w:pPr>
              <w:pStyle w:val="25"/>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表2-3                  主要燃料动力消耗指标表</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7"/>
              <w:gridCol w:w="1678"/>
              <w:gridCol w:w="2788"/>
              <w:gridCol w:w="2473"/>
            </w:tblGrid>
            <w:tr w14:paraId="04B594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noWrap w:val="0"/>
                  <w:vAlign w:val="center"/>
                </w:tcPr>
                <w:p w14:paraId="40088D43">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序号</w:t>
                  </w:r>
                </w:p>
              </w:tc>
              <w:tc>
                <w:tcPr>
                  <w:tcW w:w="1678" w:type="dxa"/>
                  <w:noWrap w:val="0"/>
                  <w:vAlign w:val="center"/>
                </w:tcPr>
                <w:p w14:paraId="4614EE12">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名称</w:t>
                  </w:r>
                </w:p>
              </w:tc>
              <w:tc>
                <w:tcPr>
                  <w:tcW w:w="2788" w:type="dxa"/>
                  <w:noWrap w:val="0"/>
                  <w:vAlign w:val="center"/>
                </w:tcPr>
                <w:p w14:paraId="2EE35FB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年消耗量</w:t>
                  </w:r>
                </w:p>
              </w:tc>
              <w:tc>
                <w:tcPr>
                  <w:tcW w:w="2473" w:type="dxa"/>
                  <w:noWrap w:val="0"/>
                  <w:vAlign w:val="center"/>
                </w:tcPr>
                <w:p w14:paraId="1174030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单位</w:t>
                  </w:r>
                </w:p>
              </w:tc>
            </w:tr>
            <w:tr w14:paraId="268DBE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noWrap w:val="0"/>
                  <w:vAlign w:val="center"/>
                </w:tcPr>
                <w:p w14:paraId="0B2DA90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678" w:type="dxa"/>
                  <w:noWrap w:val="0"/>
                  <w:vAlign w:val="center"/>
                </w:tcPr>
                <w:p w14:paraId="681589C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电</w:t>
                  </w:r>
                </w:p>
              </w:tc>
              <w:tc>
                <w:tcPr>
                  <w:tcW w:w="2788" w:type="dxa"/>
                  <w:noWrap w:val="0"/>
                  <w:vAlign w:val="center"/>
                </w:tcPr>
                <w:p w14:paraId="7945649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FF"/>
                      <w:lang w:val="en-US" w:eastAsia="zh-CN"/>
                    </w:rPr>
                  </w:pPr>
                  <w:r>
                    <w:rPr>
                      <w:rFonts w:hint="eastAsia" w:ascii="Times New Roman" w:hAnsi="Times New Roman" w:eastAsia="宋体" w:cs="Times New Roman"/>
                      <w:color w:val="auto"/>
                      <w:lang w:val="en-US" w:eastAsia="zh-CN"/>
                    </w:rPr>
                    <w:t>45.62</w:t>
                  </w:r>
                </w:p>
              </w:tc>
              <w:tc>
                <w:tcPr>
                  <w:tcW w:w="2473" w:type="dxa"/>
                  <w:noWrap w:val="0"/>
                  <w:vAlign w:val="center"/>
                </w:tcPr>
                <w:p w14:paraId="3A2470A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万kwh/a</w:t>
                  </w:r>
                </w:p>
              </w:tc>
            </w:tr>
            <w:tr w14:paraId="7A2841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77" w:type="dxa"/>
                  <w:noWrap w:val="0"/>
                  <w:vAlign w:val="center"/>
                </w:tcPr>
                <w:p w14:paraId="7B26F7F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678" w:type="dxa"/>
                  <w:noWrap w:val="0"/>
                  <w:vAlign w:val="center"/>
                </w:tcPr>
                <w:p w14:paraId="309B24D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水</w:t>
                  </w:r>
                </w:p>
              </w:tc>
              <w:tc>
                <w:tcPr>
                  <w:tcW w:w="2788" w:type="dxa"/>
                  <w:noWrap w:val="0"/>
                  <w:vAlign w:val="center"/>
                </w:tcPr>
                <w:p w14:paraId="56B98A3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0000FF"/>
                      <w:lang w:val="en-US" w:eastAsia="zh-CN"/>
                    </w:rPr>
                  </w:pPr>
                  <w:r>
                    <w:rPr>
                      <w:rFonts w:hint="eastAsia" w:cs="Times New Roman"/>
                      <w:color w:val="auto"/>
                      <w:lang w:val="en-US" w:eastAsia="zh-CN"/>
                    </w:rPr>
                    <w:t>250</w:t>
                  </w:r>
                </w:p>
              </w:tc>
              <w:tc>
                <w:tcPr>
                  <w:tcW w:w="2473" w:type="dxa"/>
                  <w:noWrap w:val="0"/>
                  <w:vAlign w:val="center"/>
                </w:tcPr>
                <w:p w14:paraId="20B64A8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t/a</w:t>
                  </w:r>
                </w:p>
              </w:tc>
            </w:tr>
          </w:tbl>
          <w:p w14:paraId="30DCF507">
            <w:pPr>
              <w:pStyle w:val="23"/>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厂区所用原辅材料理化性质简要介绍见表。</w:t>
            </w:r>
          </w:p>
          <w:p w14:paraId="0C9F7A93">
            <w:pPr>
              <w:pStyle w:val="25"/>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表2-4.1                  丙烷理化性质一览表</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2615"/>
              <w:gridCol w:w="1322"/>
              <w:gridCol w:w="2982"/>
            </w:tblGrid>
            <w:tr w14:paraId="70462D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6618CE7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中文名</w:t>
                  </w:r>
                </w:p>
              </w:tc>
              <w:tc>
                <w:tcPr>
                  <w:tcW w:w="2615" w:type="dxa"/>
                  <w:noWrap w:val="0"/>
                  <w:vAlign w:val="center"/>
                </w:tcPr>
                <w:p w14:paraId="226E5E4E">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丙烷</w:t>
                  </w:r>
                </w:p>
              </w:tc>
              <w:tc>
                <w:tcPr>
                  <w:tcW w:w="1322" w:type="dxa"/>
                  <w:noWrap w:val="0"/>
                  <w:vAlign w:val="center"/>
                </w:tcPr>
                <w:p w14:paraId="41EA1A6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英文名</w:t>
                  </w:r>
                </w:p>
              </w:tc>
              <w:tc>
                <w:tcPr>
                  <w:tcW w:w="2982" w:type="dxa"/>
                  <w:noWrap w:val="0"/>
                  <w:vAlign w:val="center"/>
                </w:tcPr>
                <w:p w14:paraId="2BBFFAC6">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propane</w:t>
                  </w:r>
                </w:p>
              </w:tc>
            </w:tr>
            <w:tr w14:paraId="4EDE85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1FA50FD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分子式</w:t>
                  </w:r>
                </w:p>
              </w:tc>
              <w:tc>
                <w:tcPr>
                  <w:tcW w:w="2615" w:type="dxa"/>
                  <w:noWrap w:val="0"/>
                  <w:vAlign w:val="center"/>
                </w:tcPr>
                <w:p w14:paraId="2F361769">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w:t>
                  </w:r>
                  <w:r>
                    <w:rPr>
                      <w:rFonts w:hint="eastAsia" w:ascii="Times New Roman" w:hAnsi="Times New Roman" w:eastAsia="宋体" w:cs="Times New Roman"/>
                      <w:color w:val="auto"/>
                      <w:vertAlign w:val="subscript"/>
                      <w:lang w:val="en-US" w:eastAsia="zh-CN"/>
                    </w:rPr>
                    <w:t>3</w:t>
                  </w: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8</w:t>
                  </w:r>
                </w:p>
              </w:tc>
              <w:tc>
                <w:tcPr>
                  <w:tcW w:w="1322" w:type="dxa"/>
                  <w:noWrap w:val="0"/>
                  <w:vAlign w:val="center"/>
                </w:tcPr>
                <w:p w14:paraId="1B1EF7F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CAS号</w:t>
                  </w:r>
                </w:p>
              </w:tc>
              <w:tc>
                <w:tcPr>
                  <w:tcW w:w="2982" w:type="dxa"/>
                  <w:noWrap w:val="0"/>
                  <w:vAlign w:val="center"/>
                </w:tcPr>
                <w:p w14:paraId="2D47D2B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74-98-6</w:t>
                  </w:r>
                </w:p>
              </w:tc>
            </w:tr>
            <w:tr w14:paraId="1849F4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54EA191F">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危险货物编号</w:t>
                  </w:r>
                </w:p>
              </w:tc>
              <w:tc>
                <w:tcPr>
                  <w:tcW w:w="2615" w:type="dxa"/>
                  <w:noWrap w:val="0"/>
                  <w:vAlign w:val="center"/>
                </w:tcPr>
                <w:p w14:paraId="2542E7A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21011，第2.1类，易燃气体</w:t>
                  </w:r>
                </w:p>
              </w:tc>
              <w:tc>
                <w:tcPr>
                  <w:tcW w:w="1322" w:type="dxa"/>
                  <w:noWrap w:val="0"/>
                  <w:vAlign w:val="center"/>
                </w:tcPr>
                <w:p w14:paraId="38BC3BDB">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相对密度</w:t>
                  </w:r>
                </w:p>
              </w:tc>
              <w:tc>
                <w:tcPr>
                  <w:tcW w:w="2982" w:type="dxa"/>
                  <w:noWrap w:val="0"/>
                  <w:vAlign w:val="center"/>
                </w:tcPr>
                <w:p w14:paraId="73F6E803">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0.5005</w:t>
                  </w:r>
                </w:p>
              </w:tc>
            </w:tr>
            <w:tr w14:paraId="550073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419403A8">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危险性类型</w:t>
                  </w:r>
                </w:p>
              </w:tc>
              <w:tc>
                <w:tcPr>
                  <w:tcW w:w="2615" w:type="dxa"/>
                  <w:noWrap w:val="0"/>
                  <w:vAlign w:val="center"/>
                </w:tcPr>
                <w:p w14:paraId="5873E88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易燃气体，类型</w:t>
                  </w:r>
                  <w:r>
                    <w:rPr>
                      <w:rFonts w:hint="default" w:ascii="Times New Roman" w:hAnsi="Times New Roman" w:eastAsia="宋体" w:cs="Times New Roman"/>
                      <w:color w:val="auto"/>
                      <w:lang w:val="en-US" w:eastAsia="zh-CN"/>
                    </w:rPr>
                    <w:t>Ⅰ</w:t>
                  </w:r>
                  <w:r>
                    <w:rPr>
                      <w:rFonts w:hint="eastAsia" w:ascii="Times New Roman" w:hAnsi="Times New Roman" w:eastAsia="宋体" w:cs="Times New Roman"/>
                      <w:color w:val="auto"/>
                      <w:lang w:val="en-US" w:eastAsia="zh-CN"/>
                    </w:rPr>
                    <w:t>加压气体</w:t>
                  </w:r>
                </w:p>
              </w:tc>
              <w:tc>
                <w:tcPr>
                  <w:tcW w:w="1322" w:type="dxa"/>
                  <w:noWrap w:val="0"/>
                  <w:vAlign w:val="center"/>
                </w:tcPr>
                <w:p w14:paraId="1C31FFE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临界压力</w:t>
                  </w:r>
                </w:p>
              </w:tc>
              <w:tc>
                <w:tcPr>
                  <w:tcW w:w="2982" w:type="dxa"/>
                  <w:noWrap w:val="0"/>
                  <w:vAlign w:val="center"/>
                </w:tcPr>
                <w:p w14:paraId="093709E2">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4.25</w:t>
                  </w:r>
                  <w:r>
                    <w:rPr>
                      <w:rFonts w:hint="eastAsia" w:ascii="Times New Roman" w:hAnsi="Times New Roman" w:eastAsia="宋体" w:cs="Times New Roman"/>
                      <w:color w:val="auto"/>
                      <w:lang w:val="en-US" w:eastAsia="zh-CN"/>
                    </w:rPr>
                    <w:t>MPa</w:t>
                  </w:r>
                </w:p>
              </w:tc>
            </w:tr>
            <w:tr w14:paraId="4E544D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2DF4BED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熔点</w:t>
                  </w:r>
                </w:p>
              </w:tc>
              <w:tc>
                <w:tcPr>
                  <w:tcW w:w="2615" w:type="dxa"/>
                  <w:noWrap w:val="0"/>
                  <w:vAlign w:val="center"/>
                </w:tcPr>
                <w:p w14:paraId="6EDE0F0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-187.6℃</w:t>
                  </w:r>
                </w:p>
              </w:tc>
              <w:tc>
                <w:tcPr>
                  <w:tcW w:w="1322" w:type="dxa"/>
                  <w:noWrap w:val="0"/>
                  <w:vAlign w:val="center"/>
                </w:tcPr>
                <w:p w14:paraId="4F881D6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溶解性</w:t>
                  </w:r>
                </w:p>
              </w:tc>
              <w:tc>
                <w:tcPr>
                  <w:tcW w:w="2982" w:type="dxa"/>
                  <w:noWrap w:val="0"/>
                  <w:vAlign w:val="center"/>
                </w:tcPr>
                <w:p w14:paraId="4B3315CF">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微溶于水，溶于乙醇、乙醚</w:t>
                  </w:r>
                </w:p>
              </w:tc>
            </w:tr>
            <w:tr w14:paraId="264936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025FDDF2">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危险特征</w:t>
                  </w:r>
                </w:p>
              </w:tc>
              <w:tc>
                <w:tcPr>
                  <w:tcW w:w="6919" w:type="dxa"/>
                  <w:gridSpan w:val="3"/>
                  <w:noWrap w:val="0"/>
                  <w:vAlign w:val="center"/>
                </w:tcPr>
                <w:p w14:paraId="7A0416FE">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易燃气体。与空气混淆能形成爆炸性混淆物，遇热源和明火有焚烧爆炸的危险。与氧化剂接触剧烈反响。气体比空气重，能在较低处扩散到相当远的地方，遇火源会着火回燃。</w:t>
                  </w:r>
                </w:p>
              </w:tc>
            </w:tr>
            <w:tr w14:paraId="784AB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3290E12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消防举措</w:t>
                  </w:r>
                </w:p>
              </w:tc>
              <w:tc>
                <w:tcPr>
                  <w:tcW w:w="6919" w:type="dxa"/>
                  <w:gridSpan w:val="3"/>
                  <w:noWrap w:val="0"/>
                  <w:vAlign w:val="center"/>
                </w:tcPr>
                <w:p w14:paraId="0FCCF5A0">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切气绝源。若不可以切气绝源，则不同意熄灭泄漏处的火焰。喷火冷却容器，可能的话将容器从火场移至空阔处。灭火剂：雾状水、泡沫、二氧化碳、干粉</w:t>
                  </w:r>
                </w:p>
              </w:tc>
            </w:tr>
            <w:tr w14:paraId="2B5ACE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88" w:type="dxa"/>
                  <w:noWrap w:val="0"/>
                  <w:vAlign w:val="center"/>
                </w:tcPr>
                <w:p w14:paraId="4079319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健康危害</w:t>
                  </w:r>
                </w:p>
              </w:tc>
              <w:tc>
                <w:tcPr>
                  <w:tcW w:w="6919" w:type="dxa"/>
                  <w:gridSpan w:val="3"/>
                  <w:noWrap w:val="0"/>
                  <w:vAlign w:val="center"/>
                </w:tcPr>
                <w:p w14:paraId="2E2F5255">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本品有纯真性窒息及麻醉作用。人短暂接触1%丙烷，不惹起症状；10%以下的浓度，只引起轻度头晕；接触高浓度时可出现麻醉状态、意识丧失；极高浓度时可致窒息</w:t>
                  </w:r>
                </w:p>
              </w:tc>
            </w:tr>
          </w:tbl>
          <w:p w14:paraId="0F275B98">
            <w:pPr>
              <w:pStyle w:val="25"/>
              <w:keepNext w:val="0"/>
              <w:keepLines w:val="0"/>
              <w:pageBreakBefore w:val="0"/>
              <w:kinsoku/>
              <w:wordWrap/>
              <w:overflowPunct/>
              <w:topLinePunct w:val="0"/>
              <w:bidi w:val="0"/>
              <w:adjustRightInd w:val="0"/>
              <w:snapToGrid w:val="0"/>
              <w:textAlignment w:val="auto"/>
              <w:rPr>
                <w:rFonts w:hint="eastAsia"/>
                <w:color w:val="auto"/>
                <w:lang w:val="en-US" w:eastAsia="zh-CN"/>
              </w:rPr>
            </w:pPr>
            <w:r>
              <w:rPr>
                <w:rFonts w:hint="eastAsia"/>
                <w:color w:val="auto"/>
                <w:lang w:val="en-US" w:eastAsia="zh-CN"/>
              </w:rPr>
              <w:t>表2-4.2                  乙炔理化性质一览表</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2885"/>
              <w:gridCol w:w="1194"/>
              <w:gridCol w:w="2982"/>
            </w:tblGrid>
            <w:tr w14:paraId="761724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1EE353EF">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中文名</w:t>
                  </w:r>
                </w:p>
              </w:tc>
              <w:tc>
                <w:tcPr>
                  <w:tcW w:w="2885" w:type="dxa"/>
                  <w:noWrap w:val="0"/>
                  <w:vAlign w:val="center"/>
                </w:tcPr>
                <w:p w14:paraId="665C8F78">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乙炔</w:t>
                  </w:r>
                </w:p>
              </w:tc>
              <w:tc>
                <w:tcPr>
                  <w:tcW w:w="1194" w:type="dxa"/>
                  <w:noWrap w:val="0"/>
                  <w:vAlign w:val="center"/>
                </w:tcPr>
                <w:p w14:paraId="52F7EEE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英文名</w:t>
                  </w:r>
                </w:p>
              </w:tc>
              <w:tc>
                <w:tcPr>
                  <w:tcW w:w="2982" w:type="dxa"/>
                  <w:noWrap w:val="0"/>
                  <w:vAlign w:val="center"/>
                </w:tcPr>
                <w:p w14:paraId="7090BF9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Ethyne</w:t>
                  </w:r>
                </w:p>
              </w:tc>
            </w:tr>
            <w:tr w14:paraId="1EE938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68C6C2B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分子式</w:t>
                  </w:r>
                </w:p>
              </w:tc>
              <w:tc>
                <w:tcPr>
                  <w:tcW w:w="2885" w:type="dxa"/>
                  <w:noWrap w:val="0"/>
                  <w:vAlign w:val="center"/>
                </w:tcPr>
                <w:p w14:paraId="4817C22F">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C</w:t>
                  </w:r>
                  <w:r>
                    <w:rPr>
                      <w:rFonts w:hint="eastAsia" w:ascii="Times New Roman" w:hAnsi="Times New Roman" w:eastAsia="宋体" w:cs="Times New Roman"/>
                      <w:color w:val="auto"/>
                      <w:vertAlign w:val="subscript"/>
                      <w:lang w:val="en-US" w:eastAsia="zh-CN"/>
                    </w:rPr>
                    <w:t>2</w:t>
                  </w:r>
                  <w:r>
                    <w:rPr>
                      <w:rFonts w:hint="eastAsia" w:ascii="Times New Roman" w:hAnsi="Times New Roman" w:eastAsia="宋体" w:cs="Times New Roman"/>
                      <w:color w:val="auto"/>
                      <w:lang w:val="en-US" w:eastAsia="zh-CN"/>
                    </w:rPr>
                    <w:t>H</w:t>
                  </w:r>
                  <w:r>
                    <w:rPr>
                      <w:rFonts w:hint="eastAsia" w:ascii="Times New Roman" w:hAnsi="Times New Roman" w:eastAsia="宋体" w:cs="Times New Roman"/>
                      <w:color w:val="auto"/>
                      <w:vertAlign w:val="subscript"/>
                      <w:lang w:val="en-US" w:eastAsia="zh-CN"/>
                    </w:rPr>
                    <w:t>2</w:t>
                  </w:r>
                </w:p>
              </w:tc>
              <w:tc>
                <w:tcPr>
                  <w:tcW w:w="1194" w:type="dxa"/>
                  <w:noWrap w:val="0"/>
                  <w:vAlign w:val="center"/>
                </w:tcPr>
                <w:p w14:paraId="484672AB">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CAS号</w:t>
                  </w:r>
                </w:p>
              </w:tc>
              <w:tc>
                <w:tcPr>
                  <w:tcW w:w="2982" w:type="dxa"/>
                  <w:noWrap w:val="0"/>
                  <w:vAlign w:val="center"/>
                </w:tcPr>
                <w:p w14:paraId="0C40ED7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74-86-2</w:t>
                  </w:r>
                </w:p>
              </w:tc>
            </w:tr>
            <w:tr w14:paraId="5621EF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6BAA9FFA">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危险货物编号</w:t>
                  </w:r>
                </w:p>
              </w:tc>
              <w:tc>
                <w:tcPr>
                  <w:tcW w:w="2885" w:type="dxa"/>
                  <w:noWrap w:val="0"/>
                  <w:vAlign w:val="center"/>
                </w:tcPr>
                <w:p w14:paraId="1438FAD4">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1001（</w:t>
                  </w:r>
                  <w:r>
                    <w:rPr>
                      <w:rFonts w:ascii="Arial" w:hAnsi="Arial" w:eastAsia="宋体" w:cs="Arial"/>
                      <w:i w:val="0"/>
                      <w:iCs w:val="0"/>
                      <w:caps w:val="0"/>
                      <w:color w:val="333333"/>
                      <w:spacing w:val="0"/>
                      <w:sz w:val="19"/>
                      <w:szCs w:val="19"/>
                      <w:shd w:val="clear" w:color="auto" w:fill="FFFFFF"/>
                    </w:rPr>
                    <w:t>溶解</w:t>
                  </w:r>
                  <w:r>
                    <w:rPr>
                      <w:rFonts w:hint="eastAsia" w:ascii="Times New Roman" w:hAnsi="Times New Roman" w:eastAsia="宋体" w:cs="Times New Roman"/>
                      <w:color w:val="auto"/>
                      <w:lang w:val="en-US" w:eastAsia="zh-CN"/>
                    </w:rPr>
                    <w:t>）；3374（无溶剂）</w:t>
                  </w:r>
                </w:p>
              </w:tc>
              <w:tc>
                <w:tcPr>
                  <w:tcW w:w="1194" w:type="dxa"/>
                  <w:noWrap w:val="0"/>
                  <w:vAlign w:val="center"/>
                </w:tcPr>
                <w:p w14:paraId="153E6300">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相对密度</w:t>
                  </w:r>
                </w:p>
              </w:tc>
              <w:tc>
                <w:tcPr>
                  <w:tcW w:w="2982" w:type="dxa"/>
                  <w:noWrap w:val="0"/>
                  <w:vAlign w:val="center"/>
                </w:tcPr>
                <w:p w14:paraId="7091349C">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0.62</w:t>
                  </w:r>
                </w:p>
              </w:tc>
            </w:tr>
            <w:tr w14:paraId="457472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3862D209">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危险性类型</w:t>
                  </w:r>
                </w:p>
              </w:tc>
              <w:tc>
                <w:tcPr>
                  <w:tcW w:w="2885" w:type="dxa"/>
                  <w:noWrap w:val="0"/>
                  <w:vAlign w:val="center"/>
                </w:tcPr>
                <w:p w14:paraId="0622943E">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2.1 易燃类气体</w:t>
                  </w:r>
                </w:p>
              </w:tc>
              <w:tc>
                <w:tcPr>
                  <w:tcW w:w="1194" w:type="dxa"/>
                  <w:noWrap w:val="0"/>
                  <w:vAlign w:val="center"/>
                </w:tcPr>
                <w:p w14:paraId="3E912D93">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临界压力</w:t>
                  </w:r>
                </w:p>
              </w:tc>
              <w:tc>
                <w:tcPr>
                  <w:tcW w:w="2982" w:type="dxa"/>
                  <w:noWrap w:val="0"/>
                  <w:vAlign w:val="center"/>
                </w:tcPr>
                <w:p w14:paraId="30FB41A8">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6.19MPa</w:t>
                  </w:r>
                </w:p>
              </w:tc>
            </w:tr>
            <w:tr w14:paraId="6BC174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3976119E">
                  <w:pPr>
                    <w:pStyle w:val="24"/>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熔点</w:t>
                  </w:r>
                </w:p>
              </w:tc>
              <w:tc>
                <w:tcPr>
                  <w:tcW w:w="2885" w:type="dxa"/>
                  <w:noWrap w:val="0"/>
                  <w:vAlign w:val="center"/>
                </w:tcPr>
                <w:p w14:paraId="5C24E01A">
                  <w:pPr>
                    <w:pStyle w:val="24"/>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-81.8</w:t>
                  </w:r>
                  <w:r>
                    <w:rPr>
                      <w:rFonts w:hint="eastAsia" w:cs="Times New Roman"/>
                      <w:color w:val="auto"/>
                      <w:lang w:val="en-US" w:eastAsia="zh-CN"/>
                    </w:rPr>
                    <w:t>℃</w:t>
                  </w:r>
                </w:p>
              </w:tc>
              <w:tc>
                <w:tcPr>
                  <w:tcW w:w="1194" w:type="dxa"/>
                  <w:noWrap w:val="0"/>
                  <w:vAlign w:val="center"/>
                </w:tcPr>
                <w:p w14:paraId="6A432D5B">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溶解性</w:t>
                  </w:r>
                </w:p>
              </w:tc>
              <w:tc>
                <w:tcPr>
                  <w:tcW w:w="2982" w:type="dxa"/>
                  <w:noWrap w:val="0"/>
                  <w:vAlign w:val="center"/>
                </w:tcPr>
                <w:p w14:paraId="755D3431">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微溶于水</w:t>
                  </w:r>
                </w:p>
              </w:tc>
            </w:tr>
            <w:tr w14:paraId="6B1365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2F71173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消防举措</w:t>
                  </w:r>
                </w:p>
              </w:tc>
              <w:tc>
                <w:tcPr>
                  <w:tcW w:w="7061" w:type="dxa"/>
                  <w:gridSpan w:val="3"/>
                  <w:noWrap w:val="0"/>
                  <w:vAlign w:val="center"/>
                </w:tcPr>
                <w:p w14:paraId="7C5F0777">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迅速撤离泄漏污染区人员至上风处，并进行隔离，严格限制出入。切断火源。建议应急处理人员戴自给正压式呼吸器，穿防静电工作服。尽可能切断泄漏源。合理通风，加速扩散。喷雾状水稀释、溶解。构筑围堤或挖坑以收容产生的大量废水。如有可能，将漏出气用排风机送至空旷地方或装设适当喷头烧掉。漏气容器要妥善处理，修复、检验后再用。</w:t>
                  </w:r>
                </w:p>
              </w:tc>
            </w:tr>
            <w:tr w14:paraId="6B9640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46" w:type="dxa"/>
                  <w:noWrap w:val="0"/>
                  <w:vAlign w:val="center"/>
                </w:tcPr>
                <w:p w14:paraId="691BC219">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健康危害</w:t>
                  </w:r>
                </w:p>
              </w:tc>
              <w:tc>
                <w:tcPr>
                  <w:tcW w:w="7061" w:type="dxa"/>
                  <w:gridSpan w:val="3"/>
                  <w:noWrap w:val="0"/>
                  <w:vAlign w:val="center"/>
                </w:tcPr>
                <w:p w14:paraId="03BBC57D">
                  <w:pPr>
                    <w:pStyle w:val="24"/>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纯乙炔属微毒类，具有弱麻醉和阻止细胞氧化的作用。高浓度时排挤空气中的氧，引起单纯性窒息作用。乙炔中常混有磷化氢、硫化氢等气体，故常伴有此类毒物的毒作用。人接触100 mg/m3能耐受30～60 min，20%引起明显缺氧，30%时共济失调，35%下5 min引起意识丧失，含10%乙炔的空气中5 h，有轻度中毒反应。</w:t>
                  </w:r>
                </w:p>
              </w:tc>
            </w:tr>
          </w:tbl>
          <w:p w14:paraId="2D0F4B1D">
            <w:pPr>
              <w:pStyle w:val="23"/>
              <w:bidi w:val="0"/>
              <w:rPr>
                <w:rFonts w:hint="eastAsia"/>
                <w:color w:val="auto"/>
                <w:lang w:val="en-US" w:eastAsia="zh-CN"/>
              </w:rPr>
            </w:pPr>
            <w:r>
              <w:rPr>
                <w:rFonts w:hint="eastAsia"/>
                <w:color w:val="auto"/>
                <w:lang w:val="en-US" w:eastAsia="zh-CN"/>
              </w:rPr>
              <w:t>本项目主要设备设施见表2-5。</w:t>
            </w:r>
          </w:p>
          <w:p w14:paraId="2515F3A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楷体" w:cs="Times New Roman"/>
                <w:b/>
                <w:bCs/>
                <w:color w:val="auto"/>
                <w:kern w:val="0"/>
                <w:sz w:val="24"/>
                <w:szCs w:val="21"/>
                <w:lang w:val="en-US" w:eastAsia="zh-CN" w:bidi="ar-SA"/>
              </w:rPr>
            </w:pPr>
            <w:r>
              <w:rPr>
                <w:rFonts w:hint="eastAsia" w:ascii="Times New Roman" w:hAnsi="Times New Roman" w:eastAsia="楷体" w:cs="Times New Roman"/>
                <w:b/>
                <w:bCs/>
                <w:color w:val="auto"/>
                <w:kern w:val="0"/>
                <w:sz w:val="24"/>
                <w:szCs w:val="21"/>
                <w:lang w:val="en-US" w:eastAsia="zh-CN" w:bidi="ar-SA"/>
              </w:rPr>
              <w:t>表2-5              项目主要设备设施一览表</w:t>
            </w:r>
          </w:p>
          <w:tbl>
            <w:tblPr>
              <w:tblStyle w:val="18"/>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2430"/>
              <w:gridCol w:w="1723"/>
              <w:gridCol w:w="1723"/>
              <w:gridCol w:w="1721"/>
            </w:tblGrid>
            <w:tr w14:paraId="6E6837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44C1A2F3">
                  <w:pPr>
                    <w:pStyle w:val="24"/>
                    <w:bidi w:val="0"/>
                    <w:jc w:val="center"/>
                    <w:rPr>
                      <w:rFonts w:hint="default"/>
                      <w:b/>
                      <w:bCs/>
                      <w:color w:val="auto"/>
                      <w:lang w:val="en-US" w:eastAsia="zh-CN"/>
                    </w:rPr>
                  </w:pPr>
                  <w:r>
                    <w:rPr>
                      <w:rFonts w:hint="eastAsia"/>
                      <w:b/>
                      <w:bCs/>
                      <w:color w:val="auto"/>
                      <w:lang w:val="en-US" w:eastAsia="zh-CN"/>
                    </w:rPr>
                    <w:t>序号</w:t>
                  </w:r>
                </w:p>
              </w:tc>
              <w:tc>
                <w:tcPr>
                  <w:tcW w:w="1409" w:type="pct"/>
                  <w:noWrap w:val="0"/>
                  <w:vAlign w:val="center"/>
                </w:tcPr>
                <w:p w14:paraId="4EBD17A6">
                  <w:pPr>
                    <w:pStyle w:val="24"/>
                    <w:bidi w:val="0"/>
                    <w:jc w:val="center"/>
                    <w:rPr>
                      <w:rFonts w:hint="default"/>
                      <w:b/>
                      <w:bCs/>
                      <w:color w:val="auto"/>
                      <w:lang w:val="en-US" w:eastAsia="zh-CN"/>
                    </w:rPr>
                  </w:pPr>
                  <w:r>
                    <w:rPr>
                      <w:rFonts w:hint="eastAsia"/>
                      <w:b/>
                      <w:bCs/>
                      <w:color w:val="auto"/>
                      <w:lang w:val="en-US" w:eastAsia="zh-CN"/>
                    </w:rPr>
                    <w:t>设备名称</w:t>
                  </w:r>
                </w:p>
              </w:tc>
              <w:tc>
                <w:tcPr>
                  <w:tcW w:w="999" w:type="pct"/>
                  <w:noWrap w:val="0"/>
                  <w:vAlign w:val="center"/>
                </w:tcPr>
                <w:p w14:paraId="4AC84A05">
                  <w:pPr>
                    <w:pStyle w:val="24"/>
                    <w:bidi w:val="0"/>
                    <w:jc w:val="center"/>
                    <w:rPr>
                      <w:rFonts w:hint="default"/>
                      <w:b/>
                      <w:bCs/>
                      <w:color w:val="auto"/>
                      <w:lang w:val="en-US" w:eastAsia="zh-CN"/>
                    </w:rPr>
                  </w:pPr>
                  <w:r>
                    <w:rPr>
                      <w:rFonts w:hint="eastAsia"/>
                      <w:b/>
                      <w:bCs/>
                      <w:color w:val="auto"/>
                      <w:lang w:val="en-US" w:eastAsia="zh-CN"/>
                    </w:rPr>
                    <w:t>规格及参数</w:t>
                  </w:r>
                </w:p>
              </w:tc>
              <w:tc>
                <w:tcPr>
                  <w:tcW w:w="999" w:type="pct"/>
                  <w:noWrap w:val="0"/>
                  <w:vAlign w:val="center"/>
                </w:tcPr>
                <w:p w14:paraId="205BCEB4">
                  <w:pPr>
                    <w:pStyle w:val="24"/>
                    <w:bidi w:val="0"/>
                    <w:jc w:val="center"/>
                    <w:rPr>
                      <w:rFonts w:hint="default"/>
                      <w:b/>
                      <w:bCs/>
                      <w:color w:val="auto"/>
                      <w:lang w:val="en-US" w:eastAsia="zh-CN"/>
                    </w:rPr>
                  </w:pPr>
                  <w:r>
                    <w:rPr>
                      <w:rFonts w:hint="eastAsia"/>
                      <w:b/>
                      <w:bCs/>
                      <w:color w:val="auto"/>
                      <w:lang w:val="en-US" w:eastAsia="zh-CN"/>
                    </w:rPr>
                    <w:t>数量（台）</w:t>
                  </w:r>
                </w:p>
              </w:tc>
              <w:tc>
                <w:tcPr>
                  <w:tcW w:w="998" w:type="pct"/>
                  <w:noWrap w:val="0"/>
                  <w:vAlign w:val="center"/>
                </w:tcPr>
                <w:p w14:paraId="4420E560">
                  <w:pPr>
                    <w:pStyle w:val="24"/>
                    <w:bidi w:val="0"/>
                    <w:jc w:val="center"/>
                    <w:rPr>
                      <w:rFonts w:hint="eastAsia"/>
                      <w:b/>
                      <w:bCs/>
                      <w:color w:val="auto"/>
                      <w:lang w:val="en-US" w:eastAsia="zh-CN"/>
                    </w:rPr>
                  </w:pPr>
                  <w:r>
                    <w:rPr>
                      <w:rFonts w:hint="eastAsia"/>
                      <w:b/>
                      <w:bCs/>
                      <w:color w:val="auto"/>
                      <w:lang w:val="en-US" w:eastAsia="zh-CN"/>
                    </w:rPr>
                    <w:t>备注</w:t>
                  </w:r>
                </w:p>
              </w:tc>
            </w:tr>
            <w:tr w14:paraId="7B31B1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37637C9C">
                  <w:pPr>
                    <w:pStyle w:val="24"/>
                    <w:bidi w:val="0"/>
                    <w:jc w:val="center"/>
                    <w:rPr>
                      <w:rFonts w:hint="default"/>
                      <w:color w:val="auto"/>
                      <w:lang w:val="en-US" w:eastAsia="zh-CN"/>
                    </w:rPr>
                  </w:pPr>
                  <w:r>
                    <w:rPr>
                      <w:rFonts w:hint="eastAsia"/>
                      <w:color w:val="auto"/>
                      <w:lang w:val="en-US" w:eastAsia="zh-CN"/>
                    </w:rPr>
                    <w:t>1</w:t>
                  </w:r>
                </w:p>
              </w:tc>
              <w:tc>
                <w:tcPr>
                  <w:tcW w:w="1409" w:type="pct"/>
                  <w:noWrap w:val="0"/>
                  <w:vAlign w:val="center"/>
                </w:tcPr>
                <w:p w14:paraId="27F2B321">
                  <w:pPr>
                    <w:pStyle w:val="24"/>
                    <w:bidi w:val="0"/>
                    <w:jc w:val="center"/>
                    <w:rPr>
                      <w:rFonts w:hint="default"/>
                      <w:color w:val="auto"/>
                      <w:lang w:val="en-US" w:eastAsia="zh-CN"/>
                    </w:rPr>
                  </w:pPr>
                  <w:r>
                    <w:rPr>
                      <w:rFonts w:hint="eastAsia"/>
                      <w:color w:val="auto"/>
                      <w:lang w:val="en-US" w:eastAsia="zh-CN"/>
                    </w:rPr>
                    <w:t>丙烷储罐</w:t>
                  </w:r>
                </w:p>
              </w:tc>
              <w:tc>
                <w:tcPr>
                  <w:tcW w:w="999" w:type="pct"/>
                  <w:noWrap w:val="0"/>
                  <w:vAlign w:val="center"/>
                </w:tcPr>
                <w:p w14:paraId="7CF544FF">
                  <w:pPr>
                    <w:pStyle w:val="24"/>
                    <w:bidi w:val="0"/>
                    <w:jc w:val="center"/>
                    <w:rPr>
                      <w:rFonts w:hint="default"/>
                      <w:color w:val="auto"/>
                      <w:lang w:val="en-US" w:eastAsia="zh-CN"/>
                    </w:rPr>
                  </w:pPr>
                  <w:r>
                    <w:rPr>
                      <w:rFonts w:hint="eastAsia"/>
                      <w:color w:val="auto"/>
                      <w:lang w:val="en-US" w:eastAsia="zh-CN"/>
                    </w:rPr>
                    <w:t>40m</w:t>
                  </w:r>
                  <w:r>
                    <w:rPr>
                      <w:rFonts w:hint="eastAsia"/>
                      <w:color w:val="auto"/>
                      <w:vertAlign w:val="superscript"/>
                      <w:lang w:val="en-US" w:eastAsia="zh-CN"/>
                    </w:rPr>
                    <w:t>3</w:t>
                  </w:r>
                </w:p>
              </w:tc>
              <w:tc>
                <w:tcPr>
                  <w:tcW w:w="999" w:type="pct"/>
                  <w:noWrap w:val="0"/>
                  <w:vAlign w:val="center"/>
                </w:tcPr>
                <w:p w14:paraId="3CCE18C0">
                  <w:pPr>
                    <w:pStyle w:val="24"/>
                    <w:bidi w:val="0"/>
                    <w:jc w:val="center"/>
                    <w:rPr>
                      <w:rFonts w:hint="default"/>
                      <w:color w:val="auto"/>
                      <w:lang w:val="en-US" w:eastAsia="zh-CN"/>
                    </w:rPr>
                  </w:pPr>
                  <w:r>
                    <w:rPr>
                      <w:rFonts w:hint="eastAsia"/>
                      <w:color w:val="auto"/>
                      <w:lang w:val="en-US" w:eastAsia="zh-CN"/>
                    </w:rPr>
                    <w:t>2</w:t>
                  </w:r>
                </w:p>
              </w:tc>
              <w:tc>
                <w:tcPr>
                  <w:tcW w:w="998" w:type="pct"/>
                  <w:noWrap w:val="0"/>
                  <w:vAlign w:val="center"/>
                </w:tcPr>
                <w:p w14:paraId="7816C447">
                  <w:pPr>
                    <w:pStyle w:val="24"/>
                    <w:bidi w:val="0"/>
                    <w:jc w:val="center"/>
                    <w:rPr>
                      <w:rFonts w:hint="default"/>
                      <w:color w:val="auto"/>
                      <w:lang w:val="en-US" w:eastAsia="zh-CN"/>
                    </w:rPr>
                  </w:pPr>
                  <w:r>
                    <w:rPr>
                      <w:rFonts w:hint="eastAsia"/>
                      <w:color w:val="auto"/>
                      <w:lang w:val="en-US" w:eastAsia="zh-CN"/>
                    </w:rPr>
                    <w:t>设计压力1.77MPa</w:t>
                  </w:r>
                </w:p>
              </w:tc>
            </w:tr>
            <w:tr w14:paraId="6A5AA0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07DCD14E">
                  <w:pPr>
                    <w:pStyle w:val="24"/>
                    <w:bidi w:val="0"/>
                    <w:jc w:val="center"/>
                    <w:rPr>
                      <w:rFonts w:hint="default"/>
                      <w:color w:val="auto"/>
                      <w:lang w:val="en-US" w:eastAsia="zh-CN"/>
                    </w:rPr>
                  </w:pPr>
                  <w:r>
                    <w:rPr>
                      <w:rFonts w:hint="eastAsia"/>
                      <w:color w:val="auto"/>
                      <w:lang w:val="en-US" w:eastAsia="zh-CN"/>
                    </w:rPr>
                    <w:t>2</w:t>
                  </w:r>
                </w:p>
              </w:tc>
              <w:tc>
                <w:tcPr>
                  <w:tcW w:w="1409" w:type="pct"/>
                  <w:noWrap w:val="0"/>
                  <w:vAlign w:val="center"/>
                </w:tcPr>
                <w:p w14:paraId="0E06EBE8">
                  <w:pPr>
                    <w:pStyle w:val="24"/>
                    <w:bidi w:val="0"/>
                    <w:jc w:val="center"/>
                    <w:rPr>
                      <w:rFonts w:hint="default"/>
                      <w:color w:val="auto"/>
                      <w:lang w:val="en-US" w:eastAsia="zh-CN"/>
                    </w:rPr>
                  </w:pPr>
                  <w:r>
                    <w:rPr>
                      <w:rFonts w:hint="eastAsia"/>
                      <w:color w:val="auto"/>
                      <w:lang w:val="en-US" w:eastAsia="zh-CN"/>
                    </w:rPr>
                    <w:t>丙烷压缩机</w:t>
                  </w:r>
                </w:p>
              </w:tc>
              <w:tc>
                <w:tcPr>
                  <w:tcW w:w="999" w:type="pct"/>
                  <w:noWrap w:val="0"/>
                  <w:vAlign w:val="center"/>
                </w:tcPr>
                <w:p w14:paraId="5582FD2D">
                  <w:pPr>
                    <w:pStyle w:val="24"/>
                    <w:bidi w:val="0"/>
                    <w:jc w:val="center"/>
                    <w:rPr>
                      <w:rFonts w:hint="default"/>
                      <w:color w:val="auto"/>
                      <w:lang w:val="en-US" w:eastAsia="zh-CN"/>
                    </w:rPr>
                  </w:pPr>
                  <w:r>
                    <w:rPr>
                      <w:rFonts w:hint="eastAsia"/>
                      <w:color w:val="auto"/>
                      <w:lang w:val="en-US" w:eastAsia="zh-CN"/>
                    </w:rPr>
                    <w:t>ZW-1.0/16-24</w:t>
                  </w:r>
                </w:p>
              </w:tc>
              <w:tc>
                <w:tcPr>
                  <w:tcW w:w="999" w:type="pct"/>
                  <w:noWrap w:val="0"/>
                  <w:vAlign w:val="center"/>
                </w:tcPr>
                <w:p w14:paraId="160D738B">
                  <w:pPr>
                    <w:pStyle w:val="24"/>
                    <w:bidi w:val="0"/>
                    <w:jc w:val="center"/>
                    <w:rPr>
                      <w:rFonts w:hint="default"/>
                      <w:color w:val="auto"/>
                      <w:lang w:val="en-US" w:eastAsia="zh-CN"/>
                    </w:rPr>
                  </w:pPr>
                  <w:r>
                    <w:rPr>
                      <w:rFonts w:hint="eastAsia"/>
                      <w:color w:val="auto"/>
                      <w:lang w:val="en-US" w:eastAsia="zh-CN"/>
                    </w:rPr>
                    <w:t>2</w:t>
                  </w:r>
                </w:p>
              </w:tc>
              <w:tc>
                <w:tcPr>
                  <w:tcW w:w="998" w:type="pct"/>
                  <w:noWrap w:val="0"/>
                  <w:vAlign w:val="center"/>
                </w:tcPr>
                <w:p w14:paraId="339DD259">
                  <w:pPr>
                    <w:pStyle w:val="24"/>
                    <w:bidi w:val="0"/>
                    <w:jc w:val="center"/>
                    <w:rPr>
                      <w:rFonts w:hint="default"/>
                      <w:color w:val="auto"/>
                      <w:lang w:val="en-US" w:eastAsia="zh-CN"/>
                    </w:rPr>
                  </w:pPr>
                  <w:r>
                    <w:rPr>
                      <w:rFonts w:hint="eastAsia"/>
                      <w:color w:val="auto"/>
                      <w:lang w:val="en-US" w:eastAsia="zh-CN"/>
                    </w:rPr>
                    <w:t>/</w:t>
                  </w:r>
                </w:p>
              </w:tc>
            </w:tr>
            <w:tr w14:paraId="4880C3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578C6DBD">
                  <w:pPr>
                    <w:pStyle w:val="24"/>
                    <w:bidi w:val="0"/>
                    <w:jc w:val="center"/>
                    <w:rPr>
                      <w:rFonts w:hint="default"/>
                      <w:color w:val="auto"/>
                      <w:lang w:val="en-US" w:eastAsia="zh-CN"/>
                    </w:rPr>
                  </w:pPr>
                  <w:r>
                    <w:rPr>
                      <w:rFonts w:hint="eastAsia"/>
                      <w:color w:val="auto"/>
                      <w:lang w:val="en-US" w:eastAsia="zh-CN"/>
                    </w:rPr>
                    <w:t>3</w:t>
                  </w:r>
                </w:p>
              </w:tc>
              <w:tc>
                <w:tcPr>
                  <w:tcW w:w="1409" w:type="pct"/>
                  <w:noWrap w:val="0"/>
                  <w:vAlign w:val="center"/>
                </w:tcPr>
                <w:p w14:paraId="5121CF36">
                  <w:pPr>
                    <w:pStyle w:val="24"/>
                    <w:bidi w:val="0"/>
                    <w:jc w:val="center"/>
                    <w:rPr>
                      <w:rFonts w:hint="default"/>
                      <w:color w:val="auto"/>
                      <w:lang w:val="en-US" w:eastAsia="zh-CN"/>
                    </w:rPr>
                  </w:pPr>
                  <w:r>
                    <w:rPr>
                      <w:rFonts w:hint="eastAsia" w:cs="Times New Roman"/>
                      <w:color w:val="auto"/>
                      <w:kern w:val="0"/>
                      <w:sz w:val="21"/>
                      <w:szCs w:val="21"/>
                      <w:highlight w:val="none"/>
                      <w:lang w:val="en-US" w:eastAsia="zh-CN"/>
                    </w:rPr>
                    <w:t>丙烷充装泵</w:t>
                  </w:r>
                </w:p>
              </w:tc>
              <w:tc>
                <w:tcPr>
                  <w:tcW w:w="999" w:type="pct"/>
                  <w:noWrap w:val="0"/>
                  <w:vAlign w:val="center"/>
                </w:tcPr>
                <w:p w14:paraId="58B95032">
                  <w:pPr>
                    <w:pStyle w:val="24"/>
                    <w:bidi w:val="0"/>
                    <w:jc w:val="center"/>
                    <w:rPr>
                      <w:rFonts w:hint="default"/>
                      <w:color w:val="auto"/>
                      <w:lang w:val="en-US" w:eastAsia="zh-CN"/>
                    </w:rPr>
                  </w:pPr>
                  <w:r>
                    <w:rPr>
                      <w:rFonts w:hint="eastAsia"/>
                      <w:color w:val="auto"/>
                      <w:lang w:val="en-US" w:eastAsia="zh-CN"/>
                    </w:rPr>
                    <w:t>YHQ8-9</w:t>
                  </w:r>
                </w:p>
              </w:tc>
              <w:tc>
                <w:tcPr>
                  <w:tcW w:w="999" w:type="pct"/>
                  <w:noWrap w:val="0"/>
                  <w:vAlign w:val="center"/>
                </w:tcPr>
                <w:p w14:paraId="1D1A814A">
                  <w:pPr>
                    <w:pStyle w:val="24"/>
                    <w:bidi w:val="0"/>
                    <w:jc w:val="center"/>
                    <w:rPr>
                      <w:rFonts w:hint="default"/>
                      <w:color w:val="auto"/>
                      <w:lang w:val="en-US" w:eastAsia="zh-CN"/>
                    </w:rPr>
                  </w:pPr>
                  <w:r>
                    <w:rPr>
                      <w:rFonts w:hint="eastAsia"/>
                      <w:color w:val="auto"/>
                      <w:lang w:val="en-US" w:eastAsia="zh-CN"/>
                    </w:rPr>
                    <w:t>2</w:t>
                  </w:r>
                </w:p>
              </w:tc>
              <w:tc>
                <w:tcPr>
                  <w:tcW w:w="998" w:type="pct"/>
                  <w:noWrap w:val="0"/>
                  <w:vAlign w:val="center"/>
                </w:tcPr>
                <w:p w14:paraId="2EDBFED6">
                  <w:pPr>
                    <w:pStyle w:val="24"/>
                    <w:bidi w:val="0"/>
                    <w:jc w:val="center"/>
                    <w:rPr>
                      <w:rFonts w:hint="eastAsia"/>
                      <w:color w:val="auto"/>
                      <w:lang w:val="en-US" w:eastAsia="zh-CN"/>
                    </w:rPr>
                  </w:pPr>
                </w:p>
              </w:tc>
            </w:tr>
            <w:tr w14:paraId="7DA7E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20D236F9">
                  <w:pPr>
                    <w:pStyle w:val="24"/>
                    <w:bidi w:val="0"/>
                    <w:jc w:val="center"/>
                    <w:rPr>
                      <w:rFonts w:hint="default"/>
                      <w:color w:val="auto"/>
                      <w:lang w:val="en-US" w:eastAsia="zh-CN"/>
                    </w:rPr>
                  </w:pPr>
                  <w:r>
                    <w:rPr>
                      <w:rFonts w:hint="eastAsia"/>
                      <w:color w:val="auto"/>
                      <w:lang w:val="en-US" w:eastAsia="zh-CN"/>
                    </w:rPr>
                    <w:t>4</w:t>
                  </w:r>
                </w:p>
              </w:tc>
              <w:tc>
                <w:tcPr>
                  <w:tcW w:w="1409" w:type="pct"/>
                  <w:noWrap w:val="0"/>
                  <w:vAlign w:val="center"/>
                </w:tcPr>
                <w:p w14:paraId="3925C31E">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olor w:val="auto"/>
                      <w:lang w:val="en-US" w:eastAsia="zh-CN"/>
                    </w:rPr>
                  </w:pPr>
                  <w:r>
                    <w:rPr>
                      <w:rFonts w:hint="eastAsia" w:ascii="Times New Roman" w:hAnsi="Times New Roman" w:eastAsia="宋体" w:cs="Times New Roman"/>
                      <w:color w:val="auto"/>
                      <w:kern w:val="0"/>
                      <w:sz w:val="21"/>
                      <w:szCs w:val="21"/>
                      <w:highlight w:val="none"/>
                      <w:lang w:val="en-US" w:eastAsia="zh-CN"/>
                    </w:rPr>
                    <w:t>丙烷</w:t>
                  </w:r>
                  <w:r>
                    <w:rPr>
                      <w:rFonts w:hint="default" w:ascii="Times New Roman" w:hAnsi="Times New Roman" w:eastAsia="宋体" w:cs="Times New Roman"/>
                      <w:color w:val="auto"/>
                      <w:kern w:val="0"/>
                      <w:sz w:val="21"/>
                      <w:szCs w:val="21"/>
                      <w:highlight w:val="none"/>
                      <w:lang w:val="en-US" w:eastAsia="zh-CN"/>
                    </w:rPr>
                    <w:t>气瓶</w:t>
                  </w:r>
                </w:p>
              </w:tc>
              <w:tc>
                <w:tcPr>
                  <w:tcW w:w="999" w:type="pct"/>
                  <w:noWrap w:val="0"/>
                  <w:vAlign w:val="center"/>
                </w:tcPr>
                <w:p w14:paraId="10D2BC80">
                  <w:pPr>
                    <w:pStyle w:val="24"/>
                    <w:bidi w:val="0"/>
                    <w:jc w:val="center"/>
                    <w:rPr>
                      <w:rFonts w:hint="default"/>
                      <w:color w:val="auto"/>
                      <w:lang w:val="en-US" w:eastAsia="zh-CN"/>
                    </w:rPr>
                  </w:pPr>
                  <w:r>
                    <w:rPr>
                      <w:rFonts w:hint="eastAsia"/>
                      <w:color w:val="auto"/>
                      <w:lang w:val="en-US" w:eastAsia="zh-CN"/>
                    </w:rPr>
                    <w:t>15kg、30kg、50kg</w:t>
                  </w:r>
                </w:p>
              </w:tc>
              <w:tc>
                <w:tcPr>
                  <w:tcW w:w="999" w:type="pct"/>
                  <w:noWrap w:val="0"/>
                  <w:vAlign w:val="center"/>
                </w:tcPr>
                <w:p w14:paraId="2FE2366E">
                  <w:pPr>
                    <w:pStyle w:val="24"/>
                    <w:bidi w:val="0"/>
                    <w:jc w:val="center"/>
                    <w:rPr>
                      <w:rFonts w:hint="default"/>
                      <w:color w:val="auto"/>
                      <w:lang w:val="en-US" w:eastAsia="zh-CN"/>
                    </w:rPr>
                  </w:pPr>
                  <w:r>
                    <w:rPr>
                      <w:rFonts w:hint="eastAsia"/>
                      <w:color w:val="auto"/>
                      <w:lang w:val="en-US" w:eastAsia="zh-CN"/>
                    </w:rPr>
                    <w:t>/</w:t>
                  </w:r>
                </w:p>
              </w:tc>
              <w:tc>
                <w:tcPr>
                  <w:tcW w:w="998" w:type="pct"/>
                  <w:noWrap w:val="0"/>
                  <w:vAlign w:val="center"/>
                </w:tcPr>
                <w:p w14:paraId="0548EB55">
                  <w:pPr>
                    <w:pStyle w:val="24"/>
                    <w:bidi w:val="0"/>
                    <w:jc w:val="center"/>
                    <w:rPr>
                      <w:rFonts w:hint="default"/>
                      <w:color w:val="auto"/>
                      <w:lang w:val="en-US" w:eastAsia="zh-CN"/>
                    </w:rPr>
                  </w:pPr>
                  <w:r>
                    <w:rPr>
                      <w:rFonts w:hint="eastAsia"/>
                      <w:color w:val="auto"/>
                      <w:lang w:val="en-US" w:eastAsia="zh-CN"/>
                    </w:rPr>
                    <w:t>设计压力2.2MPa</w:t>
                  </w:r>
                </w:p>
              </w:tc>
            </w:tr>
            <w:tr w14:paraId="24F982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54C4866D">
                  <w:pPr>
                    <w:pStyle w:val="24"/>
                    <w:bidi w:val="0"/>
                    <w:jc w:val="center"/>
                    <w:rPr>
                      <w:rFonts w:hint="default"/>
                      <w:color w:val="auto"/>
                      <w:lang w:val="en-US" w:eastAsia="zh-CN"/>
                    </w:rPr>
                  </w:pPr>
                  <w:r>
                    <w:rPr>
                      <w:rFonts w:hint="eastAsia"/>
                      <w:color w:val="auto"/>
                      <w:lang w:val="en-US" w:eastAsia="zh-CN"/>
                    </w:rPr>
                    <w:t>5</w:t>
                  </w:r>
                </w:p>
              </w:tc>
              <w:tc>
                <w:tcPr>
                  <w:tcW w:w="1409" w:type="pct"/>
                  <w:noWrap w:val="0"/>
                  <w:vAlign w:val="center"/>
                </w:tcPr>
                <w:p w14:paraId="61D74DC7">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olor w:val="auto"/>
                      <w:lang w:val="en-US" w:eastAsia="zh-CN"/>
                    </w:rPr>
                  </w:pPr>
                  <w:r>
                    <w:rPr>
                      <w:rFonts w:hint="eastAsia" w:cs="Times New Roman"/>
                      <w:color w:val="auto"/>
                      <w:kern w:val="0"/>
                      <w:sz w:val="21"/>
                      <w:szCs w:val="21"/>
                      <w:highlight w:val="none"/>
                      <w:lang w:val="en-US" w:eastAsia="zh-CN"/>
                    </w:rPr>
                    <w:t>乙炔气瓶</w:t>
                  </w:r>
                </w:p>
              </w:tc>
              <w:tc>
                <w:tcPr>
                  <w:tcW w:w="999" w:type="pct"/>
                  <w:noWrap w:val="0"/>
                  <w:vAlign w:val="center"/>
                </w:tcPr>
                <w:p w14:paraId="520ADC02">
                  <w:pPr>
                    <w:pStyle w:val="24"/>
                    <w:bidi w:val="0"/>
                    <w:jc w:val="center"/>
                    <w:rPr>
                      <w:rFonts w:hint="default"/>
                      <w:color w:val="auto"/>
                      <w:lang w:val="en-US" w:eastAsia="zh-CN"/>
                    </w:rPr>
                  </w:pPr>
                  <w:r>
                    <w:rPr>
                      <w:rFonts w:hint="eastAsia"/>
                      <w:color w:val="auto"/>
                      <w:lang w:val="en-US" w:eastAsia="zh-CN"/>
                    </w:rPr>
                    <w:t>40L</w:t>
                  </w:r>
                </w:p>
              </w:tc>
              <w:tc>
                <w:tcPr>
                  <w:tcW w:w="999" w:type="pct"/>
                  <w:noWrap w:val="0"/>
                  <w:vAlign w:val="center"/>
                </w:tcPr>
                <w:p w14:paraId="12DB5395">
                  <w:pPr>
                    <w:pStyle w:val="24"/>
                    <w:bidi w:val="0"/>
                    <w:jc w:val="center"/>
                    <w:rPr>
                      <w:rFonts w:hint="default"/>
                      <w:color w:val="auto"/>
                      <w:lang w:val="en-US" w:eastAsia="zh-CN"/>
                    </w:rPr>
                  </w:pPr>
                  <w:r>
                    <w:rPr>
                      <w:rFonts w:hint="eastAsia"/>
                      <w:color w:val="auto"/>
                      <w:lang w:val="en-US" w:eastAsia="zh-CN"/>
                    </w:rPr>
                    <w:t>/</w:t>
                  </w:r>
                </w:p>
              </w:tc>
              <w:tc>
                <w:tcPr>
                  <w:tcW w:w="998" w:type="pct"/>
                  <w:noWrap w:val="0"/>
                  <w:vAlign w:val="center"/>
                </w:tcPr>
                <w:p w14:paraId="1707A8FF">
                  <w:pPr>
                    <w:pStyle w:val="24"/>
                    <w:bidi w:val="0"/>
                    <w:jc w:val="center"/>
                    <w:rPr>
                      <w:rFonts w:hint="default"/>
                      <w:color w:val="auto"/>
                      <w:lang w:val="en-US" w:eastAsia="zh-CN"/>
                    </w:rPr>
                  </w:pPr>
                  <w:r>
                    <w:rPr>
                      <w:rFonts w:hint="eastAsia"/>
                      <w:color w:val="auto"/>
                      <w:lang w:val="en-US" w:eastAsia="zh-CN"/>
                    </w:rPr>
                    <w:t>设计压力1.56-2.3MPa</w:t>
                  </w:r>
                </w:p>
              </w:tc>
            </w:tr>
            <w:tr w14:paraId="749A8B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7FA9E102">
                  <w:pPr>
                    <w:pStyle w:val="24"/>
                    <w:bidi w:val="0"/>
                    <w:jc w:val="center"/>
                    <w:rPr>
                      <w:rFonts w:hint="default"/>
                      <w:color w:val="auto"/>
                      <w:lang w:val="en-US" w:eastAsia="zh-CN"/>
                    </w:rPr>
                  </w:pPr>
                  <w:r>
                    <w:rPr>
                      <w:rFonts w:hint="eastAsia"/>
                      <w:color w:val="auto"/>
                      <w:lang w:val="en-US" w:eastAsia="zh-CN"/>
                    </w:rPr>
                    <w:t>6</w:t>
                  </w:r>
                </w:p>
              </w:tc>
              <w:tc>
                <w:tcPr>
                  <w:tcW w:w="1409" w:type="pct"/>
                  <w:noWrap w:val="0"/>
                  <w:vAlign w:val="center"/>
                </w:tcPr>
                <w:p w14:paraId="13ED8A2C">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防爆防腐边墙排风机</w:t>
                  </w:r>
                </w:p>
              </w:tc>
              <w:tc>
                <w:tcPr>
                  <w:tcW w:w="999" w:type="pct"/>
                  <w:noWrap w:val="0"/>
                  <w:vAlign w:val="center"/>
                </w:tcPr>
                <w:p w14:paraId="7539CAFC">
                  <w:pPr>
                    <w:pStyle w:val="24"/>
                    <w:bidi w:val="0"/>
                    <w:jc w:val="center"/>
                    <w:rPr>
                      <w:rFonts w:hint="default"/>
                      <w:color w:val="auto"/>
                      <w:lang w:val="en-US" w:eastAsia="zh-CN"/>
                    </w:rPr>
                  </w:pPr>
                  <w:r>
                    <w:rPr>
                      <w:rFonts w:hint="eastAsia"/>
                      <w:color w:val="auto"/>
                      <w:lang w:val="en-US" w:eastAsia="zh-CN"/>
                    </w:rPr>
                    <w:t>DWEX-400-EX</w:t>
                  </w:r>
                </w:p>
              </w:tc>
              <w:tc>
                <w:tcPr>
                  <w:tcW w:w="999" w:type="pct"/>
                  <w:noWrap w:val="0"/>
                  <w:vAlign w:val="center"/>
                </w:tcPr>
                <w:p w14:paraId="251D2107">
                  <w:pPr>
                    <w:pStyle w:val="24"/>
                    <w:bidi w:val="0"/>
                    <w:jc w:val="center"/>
                    <w:rPr>
                      <w:rFonts w:hint="default"/>
                      <w:color w:val="auto"/>
                      <w:lang w:val="en-US" w:eastAsia="zh-CN"/>
                    </w:rPr>
                  </w:pPr>
                  <w:r>
                    <w:rPr>
                      <w:rFonts w:hint="eastAsia"/>
                      <w:color w:val="auto"/>
                      <w:lang w:val="en-US" w:eastAsia="zh-CN"/>
                    </w:rPr>
                    <w:t>1</w:t>
                  </w:r>
                </w:p>
              </w:tc>
              <w:tc>
                <w:tcPr>
                  <w:tcW w:w="998" w:type="pct"/>
                  <w:noWrap w:val="0"/>
                  <w:vAlign w:val="center"/>
                </w:tcPr>
                <w:p w14:paraId="1B4670AC">
                  <w:pPr>
                    <w:pStyle w:val="24"/>
                    <w:bidi w:val="0"/>
                    <w:jc w:val="center"/>
                    <w:rPr>
                      <w:rFonts w:hint="eastAsia"/>
                      <w:color w:val="auto"/>
                      <w:lang w:val="en-US" w:eastAsia="zh-CN"/>
                    </w:rPr>
                  </w:pPr>
                  <w:r>
                    <w:rPr>
                      <w:rFonts w:hint="eastAsia"/>
                      <w:color w:val="auto"/>
                      <w:lang w:val="en-US" w:eastAsia="zh-CN"/>
                    </w:rPr>
                    <w:t>风量4200m³/h，风压75Pa</w:t>
                  </w:r>
                </w:p>
              </w:tc>
            </w:tr>
            <w:tr w14:paraId="606EAD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466A681D">
                  <w:pPr>
                    <w:pStyle w:val="24"/>
                    <w:bidi w:val="0"/>
                    <w:jc w:val="center"/>
                    <w:rPr>
                      <w:rFonts w:hint="default"/>
                      <w:color w:val="auto"/>
                      <w:lang w:val="en-US" w:eastAsia="zh-CN"/>
                    </w:rPr>
                  </w:pPr>
                  <w:r>
                    <w:rPr>
                      <w:rFonts w:hint="eastAsia"/>
                      <w:color w:val="auto"/>
                      <w:lang w:val="en-US" w:eastAsia="zh-CN"/>
                    </w:rPr>
                    <w:t>7</w:t>
                  </w:r>
                </w:p>
              </w:tc>
              <w:tc>
                <w:tcPr>
                  <w:tcW w:w="1409" w:type="pct"/>
                  <w:noWrap w:val="0"/>
                  <w:vAlign w:val="center"/>
                </w:tcPr>
                <w:p w14:paraId="47C4A54F">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防爆防腐边墙排风机</w:t>
                  </w:r>
                </w:p>
              </w:tc>
              <w:tc>
                <w:tcPr>
                  <w:tcW w:w="999" w:type="pct"/>
                  <w:noWrap w:val="0"/>
                  <w:vAlign w:val="center"/>
                </w:tcPr>
                <w:p w14:paraId="324CA530">
                  <w:pPr>
                    <w:pStyle w:val="24"/>
                    <w:bidi w:val="0"/>
                    <w:jc w:val="center"/>
                    <w:rPr>
                      <w:rFonts w:hint="eastAsia"/>
                      <w:color w:val="auto"/>
                      <w:lang w:val="en-US" w:eastAsia="zh-CN"/>
                    </w:rPr>
                  </w:pPr>
                  <w:r>
                    <w:rPr>
                      <w:rFonts w:hint="eastAsia"/>
                      <w:color w:val="auto"/>
                      <w:lang w:val="en-US" w:eastAsia="zh-CN"/>
                    </w:rPr>
                    <w:t>DWEX-300-EX</w:t>
                  </w:r>
                </w:p>
              </w:tc>
              <w:tc>
                <w:tcPr>
                  <w:tcW w:w="999" w:type="pct"/>
                  <w:noWrap w:val="0"/>
                  <w:vAlign w:val="center"/>
                </w:tcPr>
                <w:p w14:paraId="52E56299">
                  <w:pPr>
                    <w:pStyle w:val="24"/>
                    <w:bidi w:val="0"/>
                    <w:jc w:val="center"/>
                    <w:rPr>
                      <w:rFonts w:hint="default"/>
                      <w:color w:val="auto"/>
                      <w:lang w:val="en-US" w:eastAsia="zh-CN"/>
                    </w:rPr>
                  </w:pPr>
                  <w:r>
                    <w:rPr>
                      <w:rFonts w:hint="eastAsia"/>
                      <w:color w:val="auto"/>
                      <w:lang w:val="en-US" w:eastAsia="zh-CN"/>
                    </w:rPr>
                    <w:t>1</w:t>
                  </w:r>
                </w:p>
              </w:tc>
              <w:tc>
                <w:tcPr>
                  <w:tcW w:w="998" w:type="pct"/>
                  <w:noWrap w:val="0"/>
                  <w:vAlign w:val="center"/>
                </w:tcPr>
                <w:p w14:paraId="5ECE07DF">
                  <w:pPr>
                    <w:pStyle w:val="24"/>
                    <w:bidi w:val="0"/>
                    <w:jc w:val="center"/>
                    <w:rPr>
                      <w:rFonts w:hint="eastAsia"/>
                      <w:color w:val="auto"/>
                      <w:lang w:val="en-US" w:eastAsia="zh-CN"/>
                    </w:rPr>
                  </w:pPr>
                  <w:r>
                    <w:rPr>
                      <w:rFonts w:hint="eastAsia"/>
                      <w:color w:val="auto"/>
                      <w:lang w:val="en-US" w:eastAsia="zh-CN"/>
                    </w:rPr>
                    <w:t>风量2000m³/h，风压48Pa</w:t>
                  </w:r>
                </w:p>
              </w:tc>
            </w:tr>
            <w:tr w14:paraId="5DDE47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4FC5601B">
                  <w:pPr>
                    <w:pStyle w:val="24"/>
                    <w:bidi w:val="0"/>
                    <w:jc w:val="center"/>
                    <w:rPr>
                      <w:rFonts w:hint="default"/>
                      <w:color w:val="auto"/>
                      <w:lang w:val="en-US" w:eastAsia="zh-CN"/>
                    </w:rPr>
                  </w:pPr>
                  <w:r>
                    <w:rPr>
                      <w:rFonts w:hint="eastAsia"/>
                      <w:color w:val="auto"/>
                      <w:lang w:val="en-US" w:eastAsia="zh-CN"/>
                    </w:rPr>
                    <w:t>8</w:t>
                  </w:r>
                </w:p>
              </w:tc>
              <w:tc>
                <w:tcPr>
                  <w:tcW w:w="1409" w:type="pct"/>
                  <w:noWrap w:val="0"/>
                  <w:vAlign w:val="center"/>
                </w:tcPr>
                <w:p w14:paraId="3E383D29">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边墙排风机</w:t>
                  </w:r>
                </w:p>
              </w:tc>
              <w:tc>
                <w:tcPr>
                  <w:tcW w:w="999" w:type="pct"/>
                  <w:noWrap w:val="0"/>
                  <w:vAlign w:val="center"/>
                </w:tcPr>
                <w:p w14:paraId="27EB57FE">
                  <w:pPr>
                    <w:pStyle w:val="24"/>
                    <w:bidi w:val="0"/>
                    <w:jc w:val="center"/>
                    <w:rPr>
                      <w:rFonts w:hint="eastAsia"/>
                      <w:color w:val="auto"/>
                      <w:lang w:val="en-US" w:eastAsia="zh-CN"/>
                    </w:rPr>
                  </w:pPr>
                  <w:r>
                    <w:rPr>
                      <w:rFonts w:hint="eastAsia"/>
                      <w:color w:val="auto"/>
                      <w:lang w:val="en-US" w:eastAsia="zh-CN"/>
                    </w:rPr>
                    <w:t>DWEX-250-D</w:t>
                  </w:r>
                </w:p>
              </w:tc>
              <w:tc>
                <w:tcPr>
                  <w:tcW w:w="999" w:type="pct"/>
                  <w:noWrap w:val="0"/>
                  <w:vAlign w:val="center"/>
                </w:tcPr>
                <w:p w14:paraId="33181FFE">
                  <w:pPr>
                    <w:pStyle w:val="24"/>
                    <w:bidi w:val="0"/>
                    <w:jc w:val="center"/>
                    <w:rPr>
                      <w:rFonts w:hint="default"/>
                      <w:color w:val="auto"/>
                      <w:lang w:val="en-US" w:eastAsia="zh-CN"/>
                    </w:rPr>
                  </w:pPr>
                  <w:r>
                    <w:rPr>
                      <w:rFonts w:hint="eastAsia"/>
                      <w:color w:val="auto"/>
                      <w:lang w:val="en-US" w:eastAsia="zh-CN"/>
                    </w:rPr>
                    <w:t>1</w:t>
                  </w:r>
                </w:p>
              </w:tc>
              <w:tc>
                <w:tcPr>
                  <w:tcW w:w="998" w:type="pct"/>
                  <w:noWrap w:val="0"/>
                  <w:vAlign w:val="center"/>
                </w:tcPr>
                <w:p w14:paraId="085C9E17">
                  <w:pPr>
                    <w:pStyle w:val="24"/>
                    <w:bidi w:val="0"/>
                    <w:jc w:val="center"/>
                    <w:rPr>
                      <w:rFonts w:hint="eastAsia"/>
                      <w:color w:val="auto"/>
                      <w:lang w:val="en-US" w:eastAsia="zh-CN"/>
                    </w:rPr>
                  </w:pPr>
                  <w:r>
                    <w:rPr>
                      <w:rFonts w:hint="eastAsia"/>
                      <w:color w:val="auto"/>
                      <w:lang w:val="en-US" w:eastAsia="zh-CN"/>
                    </w:rPr>
                    <w:t>风量800m³/h，风压65Pa</w:t>
                  </w:r>
                </w:p>
              </w:tc>
            </w:tr>
            <w:tr w14:paraId="463125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116381D6">
                  <w:pPr>
                    <w:pStyle w:val="24"/>
                    <w:bidi w:val="0"/>
                    <w:jc w:val="center"/>
                    <w:rPr>
                      <w:rFonts w:hint="default"/>
                      <w:color w:val="auto"/>
                      <w:lang w:val="en-US" w:eastAsia="zh-CN"/>
                    </w:rPr>
                  </w:pPr>
                  <w:r>
                    <w:rPr>
                      <w:rFonts w:hint="eastAsia"/>
                      <w:color w:val="auto"/>
                      <w:lang w:val="en-US" w:eastAsia="zh-CN"/>
                    </w:rPr>
                    <w:t>9</w:t>
                  </w:r>
                </w:p>
              </w:tc>
              <w:tc>
                <w:tcPr>
                  <w:tcW w:w="1409" w:type="pct"/>
                  <w:noWrap w:val="0"/>
                  <w:vAlign w:val="center"/>
                </w:tcPr>
                <w:p w14:paraId="5DCBCD96">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边墙排风机</w:t>
                  </w:r>
                </w:p>
              </w:tc>
              <w:tc>
                <w:tcPr>
                  <w:tcW w:w="999" w:type="pct"/>
                  <w:noWrap w:val="0"/>
                  <w:vAlign w:val="center"/>
                </w:tcPr>
                <w:p w14:paraId="6FC08FC6">
                  <w:pPr>
                    <w:pStyle w:val="24"/>
                    <w:bidi w:val="0"/>
                    <w:jc w:val="center"/>
                    <w:rPr>
                      <w:rFonts w:hint="eastAsia"/>
                      <w:color w:val="auto"/>
                      <w:lang w:val="en-US" w:eastAsia="zh-CN"/>
                    </w:rPr>
                  </w:pPr>
                  <w:r>
                    <w:rPr>
                      <w:rFonts w:hint="eastAsia"/>
                      <w:color w:val="auto"/>
                      <w:lang w:val="en-US" w:eastAsia="zh-CN"/>
                    </w:rPr>
                    <w:t>DWEX-350-D</w:t>
                  </w:r>
                </w:p>
              </w:tc>
              <w:tc>
                <w:tcPr>
                  <w:tcW w:w="999" w:type="pct"/>
                  <w:noWrap w:val="0"/>
                  <w:vAlign w:val="center"/>
                </w:tcPr>
                <w:p w14:paraId="3AD45AED">
                  <w:pPr>
                    <w:pStyle w:val="24"/>
                    <w:bidi w:val="0"/>
                    <w:jc w:val="center"/>
                    <w:rPr>
                      <w:rFonts w:hint="default"/>
                      <w:color w:val="auto"/>
                      <w:lang w:val="en-US" w:eastAsia="zh-CN"/>
                    </w:rPr>
                  </w:pPr>
                  <w:r>
                    <w:rPr>
                      <w:rFonts w:hint="eastAsia"/>
                      <w:color w:val="auto"/>
                      <w:lang w:val="en-US" w:eastAsia="zh-CN"/>
                    </w:rPr>
                    <w:t>1</w:t>
                  </w:r>
                </w:p>
              </w:tc>
              <w:tc>
                <w:tcPr>
                  <w:tcW w:w="998" w:type="pct"/>
                  <w:noWrap w:val="0"/>
                  <w:vAlign w:val="center"/>
                </w:tcPr>
                <w:p w14:paraId="14690CC2">
                  <w:pPr>
                    <w:pStyle w:val="24"/>
                    <w:bidi w:val="0"/>
                    <w:jc w:val="center"/>
                    <w:rPr>
                      <w:rFonts w:hint="eastAsia"/>
                      <w:color w:val="auto"/>
                      <w:lang w:val="en-US" w:eastAsia="zh-CN"/>
                    </w:rPr>
                  </w:pPr>
                  <w:r>
                    <w:rPr>
                      <w:rFonts w:hint="eastAsia"/>
                      <w:color w:val="auto"/>
                      <w:lang w:val="en-US" w:eastAsia="zh-CN"/>
                    </w:rPr>
                    <w:t>风量2400m³/h，风压94Pa</w:t>
                  </w:r>
                </w:p>
              </w:tc>
            </w:tr>
            <w:tr w14:paraId="4B92F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72A69796">
                  <w:pPr>
                    <w:pStyle w:val="24"/>
                    <w:bidi w:val="0"/>
                    <w:jc w:val="center"/>
                    <w:rPr>
                      <w:rFonts w:hint="default"/>
                      <w:color w:val="auto"/>
                      <w:lang w:val="en-US" w:eastAsia="zh-CN"/>
                    </w:rPr>
                  </w:pPr>
                  <w:r>
                    <w:rPr>
                      <w:rFonts w:hint="eastAsia"/>
                      <w:color w:val="auto"/>
                      <w:lang w:val="en-US" w:eastAsia="zh-CN"/>
                    </w:rPr>
                    <w:t>10</w:t>
                  </w:r>
                </w:p>
              </w:tc>
              <w:tc>
                <w:tcPr>
                  <w:tcW w:w="1409" w:type="pct"/>
                  <w:noWrap w:val="0"/>
                  <w:vAlign w:val="center"/>
                </w:tcPr>
                <w:p w14:paraId="50FCAFA1">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防爆边墙排风机</w:t>
                  </w:r>
                </w:p>
              </w:tc>
              <w:tc>
                <w:tcPr>
                  <w:tcW w:w="999" w:type="pct"/>
                  <w:noWrap w:val="0"/>
                  <w:vAlign w:val="center"/>
                </w:tcPr>
                <w:p w14:paraId="6B7432C8">
                  <w:pPr>
                    <w:pStyle w:val="24"/>
                    <w:bidi w:val="0"/>
                    <w:jc w:val="center"/>
                    <w:rPr>
                      <w:rFonts w:hint="eastAsia"/>
                      <w:color w:val="auto"/>
                      <w:lang w:val="en-US" w:eastAsia="zh-CN"/>
                    </w:rPr>
                  </w:pPr>
                  <w:r>
                    <w:rPr>
                      <w:rFonts w:hint="eastAsia"/>
                      <w:color w:val="auto"/>
                      <w:lang w:val="en-US" w:eastAsia="zh-CN"/>
                    </w:rPr>
                    <w:t>DWEX-250-EX</w:t>
                  </w:r>
                </w:p>
              </w:tc>
              <w:tc>
                <w:tcPr>
                  <w:tcW w:w="999" w:type="pct"/>
                  <w:noWrap w:val="0"/>
                  <w:vAlign w:val="center"/>
                </w:tcPr>
                <w:p w14:paraId="0218B788">
                  <w:pPr>
                    <w:pStyle w:val="24"/>
                    <w:bidi w:val="0"/>
                    <w:jc w:val="center"/>
                    <w:rPr>
                      <w:rFonts w:hint="default"/>
                      <w:color w:val="auto"/>
                      <w:lang w:val="en-US" w:eastAsia="zh-CN"/>
                    </w:rPr>
                  </w:pPr>
                  <w:r>
                    <w:rPr>
                      <w:rFonts w:hint="eastAsia"/>
                      <w:color w:val="auto"/>
                      <w:lang w:val="en-US" w:eastAsia="zh-CN"/>
                    </w:rPr>
                    <w:t>1</w:t>
                  </w:r>
                </w:p>
              </w:tc>
              <w:tc>
                <w:tcPr>
                  <w:tcW w:w="998" w:type="pct"/>
                  <w:noWrap w:val="0"/>
                  <w:vAlign w:val="center"/>
                </w:tcPr>
                <w:p w14:paraId="288D497A">
                  <w:pPr>
                    <w:pStyle w:val="24"/>
                    <w:bidi w:val="0"/>
                    <w:jc w:val="center"/>
                    <w:rPr>
                      <w:rFonts w:hint="eastAsia"/>
                      <w:color w:val="auto"/>
                      <w:lang w:val="en-US" w:eastAsia="zh-CN"/>
                    </w:rPr>
                  </w:pPr>
                  <w:r>
                    <w:rPr>
                      <w:rFonts w:hint="eastAsia"/>
                      <w:color w:val="auto"/>
                      <w:lang w:val="en-US" w:eastAsia="zh-CN"/>
                    </w:rPr>
                    <w:t>风量1200m³/h，风压94Pa</w:t>
                  </w:r>
                </w:p>
              </w:tc>
            </w:tr>
            <w:tr w14:paraId="7CFB9E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1DFEC248">
                  <w:pPr>
                    <w:pStyle w:val="24"/>
                    <w:bidi w:val="0"/>
                    <w:jc w:val="center"/>
                    <w:rPr>
                      <w:rFonts w:hint="default"/>
                      <w:color w:val="auto"/>
                      <w:lang w:val="en-US" w:eastAsia="zh-CN"/>
                    </w:rPr>
                  </w:pPr>
                  <w:r>
                    <w:rPr>
                      <w:rFonts w:hint="eastAsia"/>
                      <w:color w:val="auto"/>
                      <w:lang w:val="en-US" w:eastAsia="zh-CN"/>
                    </w:rPr>
                    <w:t>11</w:t>
                  </w:r>
                </w:p>
              </w:tc>
              <w:tc>
                <w:tcPr>
                  <w:tcW w:w="1409" w:type="pct"/>
                  <w:noWrap w:val="0"/>
                  <w:vAlign w:val="center"/>
                </w:tcPr>
                <w:p w14:paraId="4C955FA5">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天花板管道式换气扇</w:t>
                  </w:r>
                </w:p>
              </w:tc>
              <w:tc>
                <w:tcPr>
                  <w:tcW w:w="999" w:type="pct"/>
                  <w:noWrap w:val="0"/>
                  <w:vAlign w:val="center"/>
                </w:tcPr>
                <w:p w14:paraId="527B5090">
                  <w:pPr>
                    <w:pStyle w:val="24"/>
                    <w:bidi w:val="0"/>
                    <w:jc w:val="center"/>
                    <w:rPr>
                      <w:rFonts w:hint="eastAsia"/>
                      <w:color w:val="auto"/>
                      <w:lang w:val="en-US" w:eastAsia="zh-CN"/>
                    </w:rPr>
                  </w:pPr>
                  <w:r>
                    <w:rPr>
                      <w:rFonts w:hint="eastAsia"/>
                      <w:color w:val="auto"/>
                      <w:lang w:val="en-US" w:eastAsia="zh-CN"/>
                    </w:rPr>
                    <w:t>JVF-CP-500</w:t>
                  </w:r>
                </w:p>
              </w:tc>
              <w:tc>
                <w:tcPr>
                  <w:tcW w:w="999" w:type="pct"/>
                  <w:noWrap w:val="0"/>
                  <w:vAlign w:val="center"/>
                </w:tcPr>
                <w:p w14:paraId="4585D93B">
                  <w:pPr>
                    <w:pStyle w:val="24"/>
                    <w:bidi w:val="0"/>
                    <w:jc w:val="center"/>
                    <w:rPr>
                      <w:rFonts w:hint="default"/>
                      <w:color w:val="auto"/>
                      <w:lang w:val="en-US" w:eastAsia="zh-CN"/>
                    </w:rPr>
                  </w:pPr>
                  <w:r>
                    <w:rPr>
                      <w:rFonts w:hint="eastAsia"/>
                      <w:color w:val="auto"/>
                      <w:lang w:val="en-US" w:eastAsia="zh-CN"/>
                    </w:rPr>
                    <w:t>2</w:t>
                  </w:r>
                </w:p>
              </w:tc>
              <w:tc>
                <w:tcPr>
                  <w:tcW w:w="998" w:type="pct"/>
                  <w:noWrap w:val="0"/>
                  <w:vAlign w:val="center"/>
                </w:tcPr>
                <w:p w14:paraId="4C4305C5">
                  <w:pPr>
                    <w:pStyle w:val="24"/>
                    <w:bidi w:val="0"/>
                    <w:jc w:val="center"/>
                    <w:rPr>
                      <w:rFonts w:hint="eastAsia"/>
                      <w:color w:val="auto"/>
                      <w:lang w:val="en-US" w:eastAsia="zh-CN"/>
                    </w:rPr>
                  </w:pPr>
                  <w:r>
                    <w:rPr>
                      <w:rFonts w:hint="eastAsia"/>
                      <w:color w:val="auto"/>
                      <w:lang w:val="en-US" w:eastAsia="zh-CN"/>
                    </w:rPr>
                    <w:t>风量500m³/h，风压250Pa</w:t>
                  </w:r>
                </w:p>
              </w:tc>
            </w:tr>
            <w:tr w14:paraId="68E038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1" w:type="pct"/>
                  <w:noWrap w:val="0"/>
                  <w:vAlign w:val="center"/>
                </w:tcPr>
                <w:p w14:paraId="62DDC051">
                  <w:pPr>
                    <w:pStyle w:val="24"/>
                    <w:bidi w:val="0"/>
                    <w:jc w:val="center"/>
                    <w:rPr>
                      <w:rFonts w:hint="default"/>
                      <w:color w:val="auto"/>
                      <w:lang w:val="en-US" w:eastAsia="zh-CN"/>
                    </w:rPr>
                  </w:pPr>
                  <w:r>
                    <w:rPr>
                      <w:rFonts w:hint="eastAsia"/>
                      <w:color w:val="auto"/>
                      <w:lang w:val="en-US" w:eastAsia="zh-CN"/>
                    </w:rPr>
                    <w:t>12</w:t>
                  </w:r>
                </w:p>
              </w:tc>
              <w:tc>
                <w:tcPr>
                  <w:tcW w:w="1409" w:type="pct"/>
                  <w:noWrap w:val="0"/>
                  <w:vAlign w:val="center"/>
                </w:tcPr>
                <w:p w14:paraId="52ACEB3C">
                  <w:pPr>
                    <w:keepNext w:val="0"/>
                    <w:keepLines w:val="0"/>
                    <w:pageBreakBefore w:val="0"/>
                    <w:widowControl w:val="0"/>
                    <w:wordWrap/>
                    <w:autoSpaceDE w:val="0"/>
                    <w:autoSpaceDN w:val="0"/>
                    <w:bidi w:val="0"/>
                    <w:adjustRightInd/>
                    <w:snapToGrid w:val="0"/>
                    <w:spacing w:line="240" w:lineRule="auto"/>
                    <w:ind w:firstLine="0" w:firstLineChars="0"/>
                    <w:jc w:val="center"/>
                    <w:textAlignment w:val="auto"/>
                    <w:rPr>
                      <w:rFonts w:hint="eastAsia" w:cs="Times New Roman"/>
                      <w:color w:val="auto"/>
                      <w:kern w:val="0"/>
                      <w:sz w:val="21"/>
                      <w:szCs w:val="21"/>
                      <w:highlight w:val="none"/>
                      <w:lang w:val="en-US" w:eastAsia="zh-CN"/>
                    </w:rPr>
                  </w:pPr>
                  <w:r>
                    <w:rPr>
                      <w:rFonts w:hint="eastAsia" w:cs="Times New Roman"/>
                      <w:color w:val="auto"/>
                      <w:kern w:val="0"/>
                      <w:sz w:val="21"/>
                      <w:szCs w:val="21"/>
                      <w:highlight w:val="none"/>
                      <w:lang w:val="en-US" w:eastAsia="zh-CN"/>
                    </w:rPr>
                    <w:t>天花板管道式换气扇</w:t>
                  </w:r>
                </w:p>
              </w:tc>
              <w:tc>
                <w:tcPr>
                  <w:tcW w:w="999" w:type="pct"/>
                  <w:noWrap w:val="0"/>
                  <w:vAlign w:val="center"/>
                </w:tcPr>
                <w:p w14:paraId="52E33F6F">
                  <w:pPr>
                    <w:pStyle w:val="24"/>
                    <w:bidi w:val="0"/>
                    <w:jc w:val="center"/>
                    <w:rPr>
                      <w:rFonts w:hint="eastAsia"/>
                      <w:color w:val="auto"/>
                      <w:lang w:val="en-US" w:eastAsia="zh-CN"/>
                    </w:rPr>
                  </w:pPr>
                  <w:r>
                    <w:rPr>
                      <w:rFonts w:hint="eastAsia"/>
                      <w:color w:val="auto"/>
                      <w:lang w:val="en-US" w:eastAsia="zh-CN"/>
                    </w:rPr>
                    <w:t>JVF-CP-300</w:t>
                  </w:r>
                </w:p>
              </w:tc>
              <w:tc>
                <w:tcPr>
                  <w:tcW w:w="999" w:type="pct"/>
                  <w:noWrap w:val="0"/>
                  <w:vAlign w:val="center"/>
                </w:tcPr>
                <w:p w14:paraId="542B5A6D">
                  <w:pPr>
                    <w:pStyle w:val="24"/>
                    <w:bidi w:val="0"/>
                    <w:jc w:val="center"/>
                    <w:rPr>
                      <w:rFonts w:hint="default"/>
                      <w:color w:val="auto"/>
                      <w:lang w:val="en-US" w:eastAsia="zh-CN"/>
                    </w:rPr>
                  </w:pPr>
                  <w:r>
                    <w:rPr>
                      <w:rFonts w:hint="eastAsia"/>
                      <w:color w:val="auto"/>
                      <w:lang w:val="en-US" w:eastAsia="zh-CN"/>
                    </w:rPr>
                    <w:t>2</w:t>
                  </w:r>
                </w:p>
              </w:tc>
              <w:tc>
                <w:tcPr>
                  <w:tcW w:w="998" w:type="pct"/>
                  <w:noWrap w:val="0"/>
                  <w:vAlign w:val="center"/>
                </w:tcPr>
                <w:p w14:paraId="570F94CD">
                  <w:pPr>
                    <w:pStyle w:val="24"/>
                    <w:bidi w:val="0"/>
                    <w:jc w:val="center"/>
                    <w:rPr>
                      <w:rFonts w:hint="eastAsia"/>
                      <w:color w:val="auto"/>
                      <w:lang w:val="en-US" w:eastAsia="zh-CN"/>
                    </w:rPr>
                  </w:pPr>
                  <w:r>
                    <w:rPr>
                      <w:rFonts w:hint="eastAsia"/>
                      <w:color w:val="auto"/>
                      <w:lang w:val="en-US" w:eastAsia="zh-CN"/>
                    </w:rPr>
                    <w:t>风量300m³/h，风压250Pa</w:t>
                  </w:r>
                </w:p>
              </w:tc>
            </w:tr>
          </w:tbl>
          <w:p w14:paraId="6829CAEE">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产品方案</w:t>
            </w:r>
          </w:p>
          <w:p w14:paraId="5F54865F">
            <w:pPr>
              <w:pStyle w:val="23"/>
              <w:bidi w:val="0"/>
              <w:rPr>
                <w:rFonts w:hint="eastAsia"/>
                <w:color w:val="auto"/>
                <w:lang w:val="en-US" w:eastAsia="zh-CN"/>
              </w:rPr>
            </w:pPr>
            <w:r>
              <w:rPr>
                <w:rFonts w:hint="eastAsia"/>
                <w:color w:val="auto"/>
                <w:lang w:val="en-US" w:eastAsia="zh-CN"/>
              </w:rPr>
              <w:t>本项目建成后，年生产</w:t>
            </w:r>
            <w:r>
              <w:rPr>
                <w:rFonts w:hint="default"/>
                <w:color w:val="auto"/>
                <w:lang w:val="en-US" w:eastAsia="zh-CN"/>
              </w:rPr>
              <w:t>充装10万瓶丙烷</w:t>
            </w:r>
            <w:r>
              <w:rPr>
                <w:rFonts w:hint="eastAsia"/>
                <w:color w:val="auto"/>
                <w:lang w:val="en-US" w:eastAsia="zh-CN"/>
              </w:rPr>
              <w:t>。具体产品方案见表2-6。</w:t>
            </w:r>
          </w:p>
          <w:p w14:paraId="3C43037E">
            <w:pPr>
              <w:pStyle w:val="25"/>
              <w:keepNext w:val="0"/>
              <w:keepLines w:val="0"/>
              <w:pageBreakBefore w:val="0"/>
              <w:widowControl w:val="0"/>
              <w:kinsoku/>
              <w:wordWrap/>
              <w:overflowPunct/>
              <w:topLinePunct w:val="0"/>
              <w:autoSpaceDE w:val="0"/>
              <w:autoSpaceDN w:val="0"/>
              <w:bidi w:val="0"/>
              <w:adjustRightInd w:val="0"/>
              <w:snapToGrid w:val="0"/>
              <w:textAlignment w:val="auto"/>
              <w:rPr>
                <w:rFonts w:hint="eastAsia"/>
                <w:color w:val="auto"/>
                <w:lang w:val="en-US" w:eastAsia="zh-CN"/>
              </w:rPr>
            </w:pPr>
            <w:r>
              <w:rPr>
                <w:rFonts w:hint="eastAsia"/>
                <w:color w:val="auto"/>
                <w:lang w:val="en-US" w:eastAsia="zh-CN"/>
              </w:rPr>
              <w:t>表2-6                    产品方案一览表</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2680"/>
              <w:gridCol w:w="2540"/>
              <w:gridCol w:w="2618"/>
            </w:tblGrid>
            <w:tr w14:paraId="26D9B1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521ACB9B">
                  <w:pPr>
                    <w:pStyle w:val="24"/>
                    <w:bidi w:val="0"/>
                    <w:jc w:val="center"/>
                    <w:rPr>
                      <w:rFonts w:hint="default"/>
                      <w:b/>
                      <w:bCs/>
                      <w:color w:val="auto"/>
                      <w:lang w:val="en-US" w:eastAsia="zh-CN"/>
                    </w:rPr>
                  </w:pPr>
                  <w:r>
                    <w:rPr>
                      <w:rFonts w:hint="eastAsia"/>
                      <w:b/>
                      <w:bCs/>
                      <w:color w:val="auto"/>
                      <w:lang w:val="en-US" w:eastAsia="zh-CN"/>
                    </w:rPr>
                    <w:t>序号</w:t>
                  </w:r>
                </w:p>
              </w:tc>
              <w:tc>
                <w:tcPr>
                  <w:tcW w:w="2680" w:type="dxa"/>
                  <w:noWrap w:val="0"/>
                  <w:vAlign w:val="center"/>
                </w:tcPr>
                <w:p w14:paraId="5932133B">
                  <w:pPr>
                    <w:pStyle w:val="24"/>
                    <w:bidi w:val="0"/>
                    <w:jc w:val="center"/>
                    <w:rPr>
                      <w:rFonts w:hint="default"/>
                      <w:b/>
                      <w:bCs/>
                      <w:color w:val="auto"/>
                      <w:lang w:val="en-US" w:eastAsia="zh-CN"/>
                    </w:rPr>
                  </w:pPr>
                  <w:r>
                    <w:rPr>
                      <w:rFonts w:hint="default" w:ascii="Times New Roman" w:hAnsi="Times New Roman" w:eastAsia="宋体" w:cs="Times New Roman"/>
                      <w:b/>
                      <w:bCs/>
                      <w:color w:val="auto"/>
                      <w:kern w:val="0"/>
                      <w:sz w:val="21"/>
                      <w:szCs w:val="21"/>
                    </w:rPr>
                    <w:t>产量</w:t>
                  </w:r>
                </w:p>
              </w:tc>
              <w:tc>
                <w:tcPr>
                  <w:tcW w:w="2540" w:type="dxa"/>
                  <w:noWrap w:val="0"/>
                  <w:vAlign w:val="center"/>
                </w:tcPr>
                <w:p w14:paraId="2C73E1A9">
                  <w:pPr>
                    <w:pStyle w:val="24"/>
                    <w:bidi w:val="0"/>
                    <w:jc w:val="center"/>
                    <w:rPr>
                      <w:rFonts w:hint="default"/>
                      <w:b/>
                      <w:bCs/>
                      <w:color w:val="auto"/>
                      <w:lang w:val="en-US" w:eastAsia="zh-CN"/>
                    </w:rPr>
                  </w:pPr>
                  <w:r>
                    <w:rPr>
                      <w:rFonts w:hint="eastAsia"/>
                      <w:b/>
                      <w:bCs/>
                      <w:color w:val="auto"/>
                      <w:lang w:val="en-US" w:eastAsia="zh-CN"/>
                    </w:rPr>
                    <w:t>单位</w:t>
                  </w:r>
                </w:p>
              </w:tc>
              <w:tc>
                <w:tcPr>
                  <w:tcW w:w="2618" w:type="dxa"/>
                  <w:noWrap w:val="0"/>
                  <w:vAlign w:val="center"/>
                </w:tcPr>
                <w:p w14:paraId="4D42BB9C">
                  <w:pPr>
                    <w:pStyle w:val="24"/>
                    <w:bidi w:val="0"/>
                    <w:jc w:val="center"/>
                    <w:rPr>
                      <w:rFonts w:hint="default"/>
                      <w:b/>
                      <w:bCs/>
                      <w:color w:val="auto"/>
                      <w:lang w:val="en-US" w:eastAsia="zh-CN"/>
                    </w:rPr>
                  </w:pPr>
                  <w:r>
                    <w:rPr>
                      <w:rFonts w:hint="eastAsia"/>
                      <w:b/>
                      <w:bCs/>
                      <w:color w:val="auto"/>
                      <w:lang w:val="en-US" w:eastAsia="zh-CN"/>
                    </w:rPr>
                    <w:t>数量</w:t>
                  </w:r>
                </w:p>
              </w:tc>
            </w:tr>
            <w:tr w14:paraId="2EB5A3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9" w:type="dxa"/>
                  <w:noWrap w:val="0"/>
                  <w:vAlign w:val="center"/>
                </w:tcPr>
                <w:p w14:paraId="0A75A372">
                  <w:pPr>
                    <w:pStyle w:val="24"/>
                    <w:bidi w:val="0"/>
                    <w:jc w:val="center"/>
                    <w:rPr>
                      <w:rFonts w:hint="default"/>
                      <w:color w:val="auto"/>
                      <w:lang w:val="en-US" w:eastAsia="zh-CN"/>
                    </w:rPr>
                  </w:pPr>
                  <w:r>
                    <w:rPr>
                      <w:rFonts w:hint="eastAsia"/>
                      <w:color w:val="auto"/>
                      <w:lang w:val="en-US" w:eastAsia="zh-CN"/>
                    </w:rPr>
                    <w:t>1</w:t>
                  </w:r>
                </w:p>
              </w:tc>
              <w:tc>
                <w:tcPr>
                  <w:tcW w:w="2680" w:type="dxa"/>
                  <w:noWrap w:val="0"/>
                  <w:vAlign w:val="center"/>
                </w:tcPr>
                <w:p w14:paraId="6590765B">
                  <w:pPr>
                    <w:pStyle w:val="24"/>
                    <w:bidi w:val="0"/>
                    <w:jc w:val="center"/>
                    <w:rPr>
                      <w:rFonts w:hint="default"/>
                      <w:color w:val="auto"/>
                      <w:lang w:val="en-US" w:eastAsia="zh-CN"/>
                    </w:rPr>
                  </w:pPr>
                  <w:r>
                    <w:rPr>
                      <w:rFonts w:hint="eastAsia"/>
                      <w:color w:val="auto"/>
                      <w:lang w:val="en-US" w:eastAsia="zh-CN"/>
                    </w:rPr>
                    <w:t>丙烷</w:t>
                  </w:r>
                </w:p>
              </w:tc>
              <w:tc>
                <w:tcPr>
                  <w:tcW w:w="2540" w:type="dxa"/>
                  <w:noWrap w:val="0"/>
                  <w:vAlign w:val="center"/>
                </w:tcPr>
                <w:p w14:paraId="5084E9F7">
                  <w:pPr>
                    <w:pStyle w:val="24"/>
                    <w:bidi w:val="0"/>
                    <w:jc w:val="center"/>
                    <w:rPr>
                      <w:rFonts w:hint="default"/>
                      <w:color w:val="auto"/>
                      <w:lang w:val="en-US" w:eastAsia="zh-CN"/>
                    </w:rPr>
                  </w:pPr>
                  <w:r>
                    <w:rPr>
                      <w:rFonts w:hint="eastAsia"/>
                      <w:color w:val="auto"/>
                      <w:lang w:val="en-US" w:eastAsia="zh-CN"/>
                    </w:rPr>
                    <w:t>万瓶/a</w:t>
                  </w:r>
                </w:p>
              </w:tc>
              <w:tc>
                <w:tcPr>
                  <w:tcW w:w="2618" w:type="dxa"/>
                  <w:noWrap w:val="0"/>
                  <w:vAlign w:val="center"/>
                </w:tcPr>
                <w:p w14:paraId="7C959794">
                  <w:pPr>
                    <w:pStyle w:val="24"/>
                    <w:bidi w:val="0"/>
                    <w:jc w:val="center"/>
                    <w:rPr>
                      <w:rFonts w:hint="default"/>
                      <w:color w:val="auto"/>
                      <w:lang w:val="en-US" w:eastAsia="zh-CN"/>
                    </w:rPr>
                  </w:pPr>
                  <w:r>
                    <w:rPr>
                      <w:rFonts w:hint="eastAsia"/>
                      <w:color w:val="auto"/>
                      <w:lang w:val="en-US" w:eastAsia="zh-CN"/>
                    </w:rPr>
                    <w:t>10</w:t>
                  </w:r>
                </w:p>
              </w:tc>
            </w:tr>
            <w:tr w14:paraId="113489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c>
                <w:tcPr>
                  <w:tcW w:w="769" w:type="dxa"/>
                  <w:noWrap w:val="0"/>
                  <w:vAlign w:val="center"/>
                </w:tcPr>
                <w:p w14:paraId="2F8384B2">
                  <w:pPr>
                    <w:pStyle w:val="24"/>
                    <w:bidi w:val="0"/>
                    <w:jc w:val="center"/>
                    <w:rPr>
                      <w:rFonts w:hint="default"/>
                      <w:color w:val="auto"/>
                      <w:lang w:val="en-US" w:eastAsia="zh-CN"/>
                    </w:rPr>
                  </w:pPr>
                  <w:r>
                    <w:rPr>
                      <w:rFonts w:hint="eastAsia"/>
                      <w:color w:val="auto"/>
                      <w:lang w:val="en-US" w:eastAsia="zh-CN"/>
                    </w:rPr>
                    <w:t>2</w:t>
                  </w:r>
                </w:p>
              </w:tc>
              <w:tc>
                <w:tcPr>
                  <w:tcW w:w="2680" w:type="dxa"/>
                  <w:noWrap w:val="0"/>
                  <w:vAlign w:val="center"/>
                </w:tcPr>
                <w:p w14:paraId="4A941ACA">
                  <w:pPr>
                    <w:pStyle w:val="24"/>
                    <w:bidi w:val="0"/>
                    <w:jc w:val="center"/>
                    <w:rPr>
                      <w:rFonts w:hint="default"/>
                      <w:color w:val="auto"/>
                      <w:lang w:val="en-US" w:eastAsia="zh-CN"/>
                    </w:rPr>
                  </w:pPr>
                  <w:r>
                    <w:rPr>
                      <w:rFonts w:hint="eastAsia"/>
                      <w:color w:val="auto"/>
                      <w:lang w:val="en-US" w:eastAsia="zh-CN"/>
                    </w:rPr>
                    <w:t>乙炔</w:t>
                  </w:r>
                </w:p>
              </w:tc>
              <w:tc>
                <w:tcPr>
                  <w:tcW w:w="2540" w:type="dxa"/>
                  <w:noWrap w:val="0"/>
                  <w:vAlign w:val="center"/>
                </w:tcPr>
                <w:p w14:paraId="6C323B4D">
                  <w:pPr>
                    <w:pStyle w:val="24"/>
                    <w:bidi w:val="0"/>
                    <w:jc w:val="center"/>
                    <w:rPr>
                      <w:rFonts w:hint="default"/>
                      <w:color w:val="auto"/>
                      <w:lang w:val="en-US" w:eastAsia="zh-CN"/>
                    </w:rPr>
                  </w:pPr>
                  <w:r>
                    <w:rPr>
                      <w:rFonts w:hint="eastAsia"/>
                      <w:color w:val="auto"/>
                      <w:lang w:val="en-US" w:eastAsia="zh-CN"/>
                    </w:rPr>
                    <w:t>瓶</w:t>
                  </w:r>
                </w:p>
              </w:tc>
              <w:tc>
                <w:tcPr>
                  <w:tcW w:w="2618" w:type="dxa"/>
                  <w:noWrap w:val="0"/>
                  <w:vAlign w:val="center"/>
                </w:tcPr>
                <w:p w14:paraId="026A4282">
                  <w:pPr>
                    <w:pStyle w:val="24"/>
                    <w:bidi w:val="0"/>
                    <w:jc w:val="center"/>
                    <w:rPr>
                      <w:rFonts w:hint="eastAsia"/>
                      <w:color w:val="auto"/>
                      <w:lang w:val="en-US" w:eastAsia="zh-CN"/>
                    </w:rPr>
                  </w:pPr>
                  <w:r>
                    <w:rPr>
                      <w:rFonts w:hint="eastAsia"/>
                      <w:color w:val="auto"/>
                      <w:lang w:val="en-US" w:eastAsia="zh-CN"/>
                    </w:rPr>
                    <w:t>/</w:t>
                  </w:r>
                </w:p>
              </w:tc>
            </w:tr>
          </w:tbl>
          <w:p w14:paraId="53D30364">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工作制度与劳动定员</w:t>
            </w:r>
          </w:p>
          <w:p w14:paraId="7C937479">
            <w:pPr>
              <w:pStyle w:val="23"/>
              <w:bidi w:val="0"/>
              <w:rPr>
                <w:rFonts w:hint="default"/>
                <w:color w:val="auto"/>
                <w:lang w:val="en-US" w:eastAsia="zh-CN"/>
              </w:rPr>
            </w:pPr>
            <w:r>
              <w:rPr>
                <w:rFonts w:hint="eastAsia"/>
                <w:color w:val="auto"/>
                <w:lang w:val="en-US" w:eastAsia="zh-CN"/>
              </w:rPr>
              <w:t>本项目劳动定员10人，全年生产天数为330天，管理人员实行常白班工作制；生产人员实行四班三运转工作制，每班工作8小时。</w:t>
            </w:r>
          </w:p>
          <w:p w14:paraId="6149D19C">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公用工程</w:t>
            </w:r>
          </w:p>
          <w:p w14:paraId="2F719160">
            <w:pPr>
              <w:pStyle w:val="23"/>
              <w:numPr>
                <w:ilvl w:val="0"/>
                <w:numId w:val="2"/>
              </w:numPr>
              <w:bidi w:val="0"/>
              <w:rPr>
                <w:rFonts w:hint="eastAsia"/>
                <w:color w:val="auto"/>
                <w:lang w:val="en-US" w:eastAsia="zh-CN"/>
              </w:rPr>
            </w:pPr>
            <w:r>
              <w:rPr>
                <w:rFonts w:hint="eastAsia"/>
                <w:color w:val="auto"/>
                <w:lang w:val="en-US" w:eastAsia="zh-CN"/>
              </w:rPr>
              <w:t xml:space="preserve">给水 </w:t>
            </w:r>
          </w:p>
          <w:p w14:paraId="5ED2B18F">
            <w:pPr>
              <w:pStyle w:val="23"/>
              <w:bidi w:val="0"/>
              <w:rPr>
                <w:rFonts w:hint="eastAsia"/>
                <w:color w:val="auto"/>
                <w:lang w:val="en-US" w:eastAsia="zh-CN"/>
              </w:rPr>
            </w:pPr>
            <w:r>
              <w:rPr>
                <w:rFonts w:hint="eastAsia"/>
                <w:color w:val="auto"/>
                <w:lang w:val="en-US" w:eastAsia="zh-CN"/>
              </w:rPr>
              <w:t>本项目用水主要为员工的办公用水和场地清洗用水。</w:t>
            </w:r>
          </w:p>
          <w:p w14:paraId="6CA76A4C">
            <w:pPr>
              <w:pStyle w:val="23"/>
              <w:bidi w:val="0"/>
              <w:rPr>
                <w:rFonts w:hint="eastAsia"/>
                <w:color w:val="auto"/>
                <w:vertAlign w:val="baseline"/>
                <w:lang w:val="en-US" w:eastAsia="zh-CN"/>
              </w:rPr>
            </w:pPr>
            <w:r>
              <w:rPr>
                <w:rFonts w:hint="eastAsia"/>
                <w:color w:val="auto"/>
                <w:lang w:val="en-US" w:eastAsia="zh-CN"/>
              </w:rPr>
              <w:t>员工的办公用水根据《</w:t>
            </w:r>
            <w:r>
              <w:rPr>
                <w:rFonts w:hint="default" w:ascii="Times New Roman" w:hAnsi="Times New Roman" w:cs="Times New Roman"/>
                <w:color w:val="auto"/>
                <w:lang w:val="en-US" w:eastAsia="zh-CN"/>
              </w:rPr>
              <w:t>自治区人民政府办公厅关于印发宁夏回族自治区有关行业用水定额的通知（宁政办规发〔2020〕20号）</w:t>
            </w:r>
            <w:r>
              <w:rPr>
                <w:rFonts w:hint="eastAsia"/>
                <w:color w:val="auto"/>
                <w:lang w:val="en-US" w:eastAsia="zh-CN"/>
              </w:rPr>
              <w:t>》中“机关、企事业管理机构和社会团体用水”用水定额按25m</w:t>
            </w:r>
            <w:r>
              <w:rPr>
                <w:rFonts w:hint="eastAsia"/>
                <w:color w:val="auto"/>
                <w:vertAlign w:val="superscript"/>
                <w:lang w:val="en-US" w:eastAsia="zh-CN"/>
              </w:rPr>
              <w:t>3</w:t>
            </w:r>
            <w:r>
              <w:rPr>
                <w:rFonts w:hint="eastAsia"/>
                <w:color w:val="auto"/>
                <w:lang w:val="en-US" w:eastAsia="zh-CN"/>
              </w:rPr>
              <w:t>/（人·a）计，本项目办公用水量为250m</w:t>
            </w:r>
            <w:r>
              <w:rPr>
                <w:rFonts w:hint="eastAsia"/>
                <w:color w:val="auto"/>
                <w:vertAlign w:val="superscript"/>
                <w:lang w:val="en-US" w:eastAsia="zh-CN"/>
              </w:rPr>
              <w:t>3</w:t>
            </w:r>
            <w:r>
              <w:rPr>
                <w:rFonts w:hint="eastAsia"/>
                <w:color w:val="auto"/>
                <w:vertAlign w:val="baseline"/>
                <w:lang w:val="en-US" w:eastAsia="zh-CN"/>
              </w:rPr>
              <w:t>/a（0.75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d</w:t>
            </w:r>
            <w:r>
              <w:rPr>
                <w:rFonts w:hint="eastAsia"/>
                <w:color w:val="auto"/>
                <w:vertAlign w:val="baseline"/>
                <w:lang w:val="en-US" w:eastAsia="zh-CN"/>
              </w:rPr>
              <w:t>）。</w:t>
            </w:r>
          </w:p>
          <w:p w14:paraId="40E03B9E">
            <w:pPr>
              <w:pStyle w:val="23"/>
              <w:numPr>
                <w:ilvl w:val="0"/>
                <w:numId w:val="2"/>
              </w:numPr>
              <w:bidi w:val="0"/>
              <w:rPr>
                <w:rFonts w:hint="default"/>
                <w:color w:val="auto"/>
                <w:lang w:val="en-US" w:eastAsia="zh-CN"/>
              </w:rPr>
            </w:pPr>
            <w:r>
              <w:rPr>
                <w:rFonts w:hint="eastAsia"/>
                <w:color w:val="auto"/>
                <w:lang w:val="en-US" w:eastAsia="zh-CN"/>
              </w:rPr>
              <w:t>排水</w:t>
            </w:r>
          </w:p>
          <w:p w14:paraId="4D386826">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生活污水产生量按用水量的</w:t>
            </w:r>
            <w:r>
              <w:rPr>
                <w:rFonts w:hint="eastAsia" w:cs="Times New Roman"/>
                <w:color w:val="auto"/>
                <w:lang w:val="en-US" w:eastAsia="zh-CN"/>
              </w:rPr>
              <w:t>80</w:t>
            </w:r>
            <w:r>
              <w:rPr>
                <w:rFonts w:hint="default" w:ascii="Times New Roman" w:hAnsi="Times New Roman" w:cs="Times New Roman"/>
                <w:color w:val="auto"/>
                <w:lang w:val="en-US" w:eastAsia="zh-CN"/>
              </w:rPr>
              <w:t>%计，则生活污水产生量为</w:t>
            </w:r>
            <w:r>
              <w:rPr>
                <w:rFonts w:hint="eastAsia" w:cs="Times New Roman"/>
                <w:color w:val="auto"/>
                <w:lang w:val="en-US" w:eastAsia="zh-CN"/>
              </w:rPr>
              <w:t>200</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/a</w:t>
            </w:r>
            <w:r>
              <w:rPr>
                <w:rFonts w:hint="eastAsia" w:cs="Times New Roman"/>
                <w:color w:val="auto"/>
                <w:lang w:val="en-US" w:eastAsia="zh-CN"/>
              </w:rPr>
              <w:t>（0.6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w:t>
            </w:r>
            <w:r>
              <w:rPr>
                <w:rFonts w:hint="eastAsia" w:cs="Times New Roman"/>
                <w:color w:val="auto"/>
                <w:lang w:val="en-US" w:eastAsia="zh-CN"/>
              </w:rPr>
              <w:t>d）</w:t>
            </w:r>
            <w:r>
              <w:rPr>
                <w:rFonts w:hint="default" w:ascii="Times New Roman" w:hAnsi="Times New Roman" w:cs="Times New Roman"/>
                <w:color w:val="auto"/>
                <w:lang w:val="en-US" w:eastAsia="zh-CN"/>
              </w:rPr>
              <w:t>，项目污水排入</w:t>
            </w:r>
            <w:r>
              <w:rPr>
                <w:rFonts w:hint="eastAsia" w:cs="Times New Roman"/>
                <w:color w:val="auto"/>
                <w:lang w:val="en-US" w:eastAsia="zh-CN"/>
              </w:rPr>
              <w:t>5</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化粪池，</w:t>
            </w:r>
            <w:r>
              <w:rPr>
                <w:rFonts w:hint="eastAsia" w:cs="Times New Roman"/>
                <w:color w:val="auto"/>
                <w:lang w:val="en-US" w:eastAsia="zh-CN"/>
              </w:rPr>
              <w:t>经化粪池处理后排入污水管网，最后排入园区</w:t>
            </w:r>
            <w:r>
              <w:rPr>
                <w:rFonts w:hint="default" w:ascii="Times New Roman" w:hAnsi="Times New Roman" w:cs="Times New Roman"/>
                <w:color w:val="auto"/>
                <w:lang w:val="en-US" w:eastAsia="zh-CN"/>
              </w:rPr>
              <w:t>污水处理厂</w:t>
            </w:r>
            <w:r>
              <w:rPr>
                <w:rFonts w:hint="eastAsia" w:cs="Times New Roman"/>
                <w:color w:val="auto"/>
                <w:lang w:val="en-US" w:eastAsia="zh-CN"/>
              </w:rPr>
              <w:t>处置</w:t>
            </w:r>
            <w:r>
              <w:rPr>
                <w:rFonts w:hint="default" w:ascii="Times New Roman" w:hAnsi="Times New Roman" w:cs="Times New Roman"/>
                <w:color w:val="auto"/>
                <w:lang w:val="en-US" w:eastAsia="zh-CN"/>
              </w:rPr>
              <w:t>。</w:t>
            </w:r>
          </w:p>
          <w:p w14:paraId="62778CFD">
            <w:pPr>
              <w:pStyle w:val="25"/>
              <w:bidi w:val="0"/>
              <w:rPr>
                <w:rFonts w:hint="default"/>
                <w:color w:val="auto"/>
                <w:lang w:val="en-US" w:eastAsia="zh-CN"/>
              </w:rPr>
            </w:pPr>
            <w:r>
              <w:rPr>
                <w:rFonts w:hint="eastAsia"/>
                <w:color w:val="auto"/>
                <w:lang w:val="en-US" w:eastAsia="zh-CN"/>
              </w:rPr>
              <w:t>表2-7                       本项目水平衡表</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1"/>
              <w:gridCol w:w="1183"/>
              <w:gridCol w:w="853"/>
              <w:gridCol w:w="974"/>
              <w:gridCol w:w="1073"/>
              <w:gridCol w:w="1015"/>
              <w:gridCol w:w="971"/>
              <w:gridCol w:w="993"/>
              <w:gridCol w:w="993"/>
            </w:tblGrid>
            <w:tr w14:paraId="0F60DE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51" w:type="dxa"/>
                  <w:vMerge w:val="restart"/>
                  <w:noWrap w:val="0"/>
                  <w:vAlign w:val="center"/>
                </w:tcPr>
                <w:p w14:paraId="11CEA094">
                  <w:pPr>
                    <w:pStyle w:val="24"/>
                    <w:bidi w:val="0"/>
                    <w:jc w:val="center"/>
                    <w:rPr>
                      <w:rFonts w:hint="default"/>
                      <w:b/>
                      <w:bCs/>
                      <w:color w:val="auto"/>
                      <w:lang w:val="en-US" w:eastAsia="zh-CN"/>
                    </w:rPr>
                  </w:pPr>
                  <w:r>
                    <w:rPr>
                      <w:rFonts w:hint="eastAsia"/>
                      <w:b/>
                      <w:bCs/>
                      <w:color w:val="auto"/>
                      <w:lang w:val="en-US" w:eastAsia="zh-CN"/>
                    </w:rPr>
                    <w:t>序号</w:t>
                  </w:r>
                </w:p>
              </w:tc>
              <w:tc>
                <w:tcPr>
                  <w:tcW w:w="1183" w:type="dxa"/>
                  <w:vMerge w:val="restart"/>
                  <w:noWrap w:val="0"/>
                  <w:vAlign w:val="center"/>
                </w:tcPr>
                <w:p w14:paraId="703D3158">
                  <w:pPr>
                    <w:pStyle w:val="24"/>
                    <w:bidi w:val="0"/>
                    <w:jc w:val="center"/>
                    <w:rPr>
                      <w:rFonts w:hint="default"/>
                      <w:b/>
                      <w:bCs/>
                      <w:color w:val="auto"/>
                      <w:lang w:val="en-US" w:eastAsia="zh-CN"/>
                    </w:rPr>
                  </w:pPr>
                  <w:r>
                    <w:rPr>
                      <w:rFonts w:hint="eastAsia"/>
                      <w:b/>
                      <w:bCs/>
                      <w:color w:val="auto"/>
                      <w:lang w:val="en-US" w:eastAsia="zh-CN"/>
                    </w:rPr>
                    <w:t>项目</w:t>
                  </w:r>
                </w:p>
              </w:tc>
              <w:tc>
                <w:tcPr>
                  <w:tcW w:w="853" w:type="dxa"/>
                  <w:vMerge w:val="restart"/>
                  <w:noWrap w:val="0"/>
                  <w:vAlign w:val="center"/>
                </w:tcPr>
                <w:p w14:paraId="27A1CC51">
                  <w:pPr>
                    <w:pStyle w:val="24"/>
                    <w:bidi w:val="0"/>
                    <w:jc w:val="center"/>
                    <w:rPr>
                      <w:rFonts w:hint="default"/>
                      <w:b/>
                      <w:bCs/>
                      <w:color w:val="auto"/>
                      <w:lang w:val="en-US" w:eastAsia="zh-CN"/>
                    </w:rPr>
                  </w:pPr>
                  <w:r>
                    <w:rPr>
                      <w:rFonts w:hint="eastAsia"/>
                      <w:b/>
                      <w:bCs/>
                      <w:color w:val="auto"/>
                      <w:lang w:val="en-US" w:eastAsia="zh-CN"/>
                    </w:rPr>
                    <w:t>数量</w:t>
                  </w:r>
                </w:p>
              </w:tc>
              <w:tc>
                <w:tcPr>
                  <w:tcW w:w="2047" w:type="dxa"/>
                  <w:gridSpan w:val="2"/>
                  <w:noWrap w:val="0"/>
                  <w:vAlign w:val="center"/>
                </w:tcPr>
                <w:p w14:paraId="35FF878A">
                  <w:pPr>
                    <w:pStyle w:val="24"/>
                    <w:bidi w:val="0"/>
                    <w:jc w:val="center"/>
                    <w:rPr>
                      <w:rFonts w:hint="default"/>
                      <w:b/>
                      <w:bCs/>
                      <w:color w:val="auto"/>
                      <w:lang w:val="en-US" w:eastAsia="zh-CN"/>
                    </w:rPr>
                  </w:pPr>
                  <w:r>
                    <w:rPr>
                      <w:rFonts w:hint="eastAsia"/>
                      <w:b/>
                      <w:bCs/>
                      <w:color w:val="auto"/>
                      <w:lang w:val="en-US" w:eastAsia="zh-CN"/>
                    </w:rPr>
                    <w:t>给水</w:t>
                  </w:r>
                </w:p>
              </w:tc>
              <w:tc>
                <w:tcPr>
                  <w:tcW w:w="1986" w:type="dxa"/>
                  <w:gridSpan w:val="2"/>
                  <w:noWrap w:val="0"/>
                  <w:vAlign w:val="center"/>
                </w:tcPr>
                <w:p w14:paraId="465C34EB">
                  <w:pPr>
                    <w:pStyle w:val="24"/>
                    <w:bidi w:val="0"/>
                    <w:jc w:val="center"/>
                    <w:rPr>
                      <w:rFonts w:hint="default"/>
                      <w:b/>
                      <w:bCs/>
                      <w:color w:val="auto"/>
                      <w:lang w:val="en-US" w:eastAsia="zh-CN"/>
                    </w:rPr>
                  </w:pPr>
                  <w:r>
                    <w:rPr>
                      <w:rFonts w:hint="eastAsia"/>
                      <w:b/>
                      <w:bCs/>
                      <w:color w:val="auto"/>
                      <w:lang w:val="en-US" w:eastAsia="zh-CN"/>
                    </w:rPr>
                    <w:t>排水</w:t>
                  </w:r>
                </w:p>
              </w:tc>
              <w:tc>
                <w:tcPr>
                  <w:tcW w:w="1986" w:type="dxa"/>
                  <w:gridSpan w:val="2"/>
                  <w:noWrap w:val="0"/>
                  <w:vAlign w:val="center"/>
                </w:tcPr>
                <w:p w14:paraId="6E7BCF93">
                  <w:pPr>
                    <w:pStyle w:val="24"/>
                    <w:bidi w:val="0"/>
                    <w:jc w:val="center"/>
                    <w:rPr>
                      <w:rFonts w:hint="default"/>
                      <w:b/>
                      <w:bCs/>
                      <w:color w:val="auto"/>
                      <w:lang w:val="en-US" w:eastAsia="zh-CN"/>
                    </w:rPr>
                  </w:pPr>
                  <w:r>
                    <w:rPr>
                      <w:rFonts w:hint="eastAsia"/>
                      <w:b/>
                      <w:bCs/>
                      <w:color w:val="auto"/>
                      <w:lang w:val="en-US" w:eastAsia="zh-CN"/>
                    </w:rPr>
                    <w:t>损失</w:t>
                  </w:r>
                </w:p>
              </w:tc>
            </w:tr>
            <w:tr w14:paraId="552E61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551" w:type="dxa"/>
                  <w:vMerge w:val="continue"/>
                  <w:noWrap w:val="0"/>
                  <w:vAlign w:val="center"/>
                </w:tcPr>
                <w:p w14:paraId="0FD1E4F3">
                  <w:pPr>
                    <w:pStyle w:val="24"/>
                    <w:bidi w:val="0"/>
                    <w:jc w:val="center"/>
                    <w:rPr>
                      <w:b/>
                      <w:bCs/>
                      <w:color w:val="auto"/>
                    </w:rPr>
                  </w:pPr>
                </w:p>
              </w:tc>
              <w:tc>
                <w:tcPr>
                  <w:tcW w:w="1183" w:type="dxa"/>
                  <w:vMerge w:val="continue"/>
                  <w:noWrap w:val="0"/>
                  <w:vAlign w:val="center"/>
                </w:tcPr>
                <w:p w14:paraId="430597E4">
                  <w:pPr>
                    <w:pStyle w:val="24"/>
                    <w:bidi w:val="0"/>
                    <w:jc w:val="center"/>
                    <w:rPr>
                      <w:b/>
                      <w:bCs/>
                      <w:color w:val="auto"/>
                    </w:rPr>
                  </w:pPr>
                </w:p>
              </w:tc>
              <w:tc>
                <w:tcPr>
                  <w:tcW w:w="853" w:type="dxa"/>
                  <w:vMerge w:val="continue"/>
                  <w:noWrap w:val="0"/>
                  <w:vAlign w:val="center"/>
                </w:tcPr>
                <w:p w14:paraId="71B66B6C">
                  <w:pPr>
                    <w:pStyle w:val="24"/>
                    <w:bidi w:val="0"/>
                    <w:jc w:val="center"/>
                    <w:rPr>
                      <w:b/>
                      <w:bCs/>
                      <w:color w:val="auto"/>
                    </w:rPr>
                  </w:pPr>
                </w:p>
              </w:tc>
              <w:tc>
                <w:tcPr>
                  <w:tcW w:w="974" w:type="dxa"/>
                  <w:noWrap w:val="0"/>
                  <w:vAlign w:val="center"/>
                </w:tcPr>
                <w:p w14:paraId="34A06400">
                  <w:pPr>
                    <w:pStyle w:val="24"/>
                    <w:bidi w:val="0"/>
                    <w:jc w:val="center"/>
                    <w:rPr>
                      <w:rFonts w:hint="default"/>
                      <w:b/>
                      <w:bCs/>
                      <w:color w:val="auto"/>
                      <w:lang w:val="en-US" w:eastAsia="zh-CN"/>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/d</w:t>
                  </w:r>
                </w:p>
              </w:tc>
              <w:tc>
                <w:tcPr>
                  <w:tcW w:w="1073" w:type="dxa"/>
                  <w:noWrap w:val="0"/>
                  <w:vAlign w:val="center"/>
                </w:tcPr>
                <w:p w14:paraId="56E8D874">
                  <w:pPr>
                    <w:pStyle w:val="24"/>
                    <w:bidi w:val="0"/>
                    <w:jc w:val="center"/>
                    <w:rPr>
                      <w:rFonts w:hint="default"/>
                      <w:b/>
                      <w:bCs/>
                      <w:color w:val="auto"/>
                      <w:lang w:val="en-US" w:eastAsia="zh-CN"/>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/a</w:t>
                  </w:r>
                </w:p>
              </w:tc>
              <w:tc>
                <w:tcPr>
                  <w:tcW w:w="1015" w:type="dxa"/>
                  <w:noWrap w:val="0"/>
                  <w:vAlign w:val="center"/>
                </w:tcPr>
                <w:p w14:paraId="0141CB09">
                  <w:pPr>
                    <w:pStyle w:val="24"/>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/d</w:t>
                  </w:r>
                </w:p>
              </w:tc>
              <w:tc>
                <w:tcPr>
                  <w:tcW w:w="971" w:type="dxa"/>
                  <w:noWrap w:val="0"/>
                  <w:vAlign w:val="center"/>
                </w:tcPr>
                <w:p w14:paraId="50BB34DA">
                  <w:pPr>
                    <w:pStyle w:val="24"/>
                    <w:bidi w:val="0"/>
                    <w:ind w:firstLine="0" w:firstLineChars="0"/>
                    <w:jc w:val="center"/>
                    <w:rPr>
                      <w:rFonts w:hint="default" w:ascii="Times New Roman" w:hAnsi="Times New Roman" w:eastAsia="宋体" w:cs="Times New Roman"/>
                      <w:b/>
                      <w:bCs/>
                      <w:color w:val="auto"/>
                      <w:kern w:val="0"/>
                      <w:sz w:val="21"/>
                      <w:szCs w:val="21"/>
                      <w:lang w:val="en-US" w:eastAsia="zh-CN" w:bidi="ar-SA"/>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/a</w:t>
                  </w:r>
                </w:p>
              </w:tc>
              <w:tc>
                <w:tcPr>
                  <w:tcW w:w="993" w:type="dxa"/>
                  <w:noWrap w:val="0"/>
                  <w:vAlign w:val="center"/>
                </w:tcPr>
                <w:p w14:paraId="74BDEC88">
                  <w:pPr>
                    <w:pStyle w:val="24"/>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/d</w:t>
                  </w:r>
                </w:p>
              </w:tc>
              <w:tc>
                <w:tcPr>
                  <w:tcW w:w="993" w:type="dxa"/>
                  <w:noWrap w:val="0"/>
                  <w:vAlign w:val="center"/>
                </w:tcPr>
                <w:p w14:paraId="34CC9C4E">
                  <w:pPr>
                    <w:pStyle w:val="24"/>
                    <w:bidi w:val="0"/>
                    <w:ind w:firstLine="0" w:firstLineChars="0"/>
                    <w:jc w:val="center"/>
                    <w:rPr>
                      <w:rFonts w:hint="eastAsia" w:ascii="Times New Roman" w:hAnsi="Times New Roman" w:eastAsia="宋体" w:cs="Times New Roman"/>
                      <w:b/>
                      <w:bCs/>
                      <w:color w:val="auto"/>
                      <w:kern w:val="0"/>
                      <w:sz w:val="21"/>
                      <w:szCs w:val="21"/>
                      <w:lang w:val="en-US" w:eastAsia="zh-CN" w:bidi="ar-SA"/>
                    </w:rPr>
                  </w:pP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val="en-US" w:eastAsia="zh-CN"/>
                    </w:rPr>
                    <w:t>/a</w:t>
                  </w:r>
                </w:p>
              </w:tc>
            </w:tr>
            <w:tr w14:paraId="11687E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1" w:type="dxa"/>
                  <w:noWrap w:val="0"/>
                  <w:vAlign w:val="center"/>
                </w:tcPr>
                <w:p w14:paraId="5CFA0D89">
                  <w:pPr>
                    <w:pStyle w:val="24"/>
                    <w:bidi w:val="0"/>
                    <w:jc w:val="center"/>
                    <w:rPr>
                      <w:rFonts w:hint="default"/>
                      <w:color w:val="auto"/>
                      <w:lang w:val="en-US" w:eastAsia="zh-CN"/>
                    </w:rPr>
                  </w:pPr>
                  <w:r>
                    <w:rPr>
                      <w:rFonts w:hint="eastAsia"/>
                      <w:color w:val="auto"/>
                      <w:lang w:val="en-US" w:eastAsia="zh-CN"/>
                    </w:rPr>
                    <w:t>1</w:t>
                  </w:r>
                </w:p>
              </w:tc>
              <w:tc>
                <w:tcPr>
                  <w:tcW w:w="1183" w:type="dxa"/>
                  <w:noWrap w:val="0"/>
                  <w:vAlign w:val="center"/>
                </w:tcPr>
                <w:p w14:paraId="4489CF10">
                  <w:pPr>
                    <w:pStyle w:val="24"/>
                    <w:bidi w:val="0"/>
                    <w:jc w:val="center"/>
                    <w:rPr>
                      <w:rFonts w:hint="default"/>
                      <w:color w:val="auto"/>
                      <w:lang w:val="en-US" w:eastAsia="zh-CN"/>
                    </w:rPr>
                  </w:pPr>
                  <w:r>
                    <w:rPr>
                      <w:rFonts w:hint="eastAsia"/>
                      <w:color w:val="auto"/>
                      <w:lang w:val="en-US" w:eastAsia="zh-CN"/>
                    </w:rPr>
                    <w:t>生活用水</w:t>
                  </w:r>
                </w:p>
              </w:tc>
              <w:tc>
                <w:tcPr>
                  <w:tcW w:w="853" w:type="dxa"/>
                  <w:noWrap w:val="0"/>
                  <w:vAlign w:val="center"/>
                </w:tcPr>
                <w:p w14:paraId="2E30AB8B">
                  <w:pPr>
                    <w:pStyle w:val="24"/>
                    <w:bidi w:val="0"/>
                    <w:jc w:val="center"/>
                    <w:rPr>
                      <w:rFonts w:hint="default"/>
                      <w:color w:val="auto"/>
                      <w:lang w:val="en-US" w:eastAsia="zh-CN"/>
                    </w:rPr>
                  </w:pPr>
                  <w:r>
                    <w:rPr>
                      <w:rFonts w:hint="eastAsia"/>
                      <w:color w:val="auto"/>
                      <w:lang w:val="en-US" w:eastAsia="zh-CN"/>
                    </w:rPr>
                    <w:t>10人</w:t>
                  </w:r>
                </w:p>
              </w:tc>
              <w:tc>
                <w:tcPr>
                  <w:tcW w:w="974" w:type="dxa"/>
                  <w:noWrap w:val="0"/>
                  <w:vAlign w:val="center"/>
                </w:tcPr>
                <w:p w14:paraId="264B43DD">
                  <w:pPr>
                    <w:pStyle w:val="24"/>
                    <w:bidi w:val="0"/>
                    <w:jc w:val="center"/>
                    <w:rPr>
                      <w:rFonts w:hint="default"/>
                      <w:color w:val="auto"/>
                      <w:lang w:val="en-US" w:eastAsia="zh-CN"/>
                    </w:rPr>
                  </w:pPr>
                  <w:r>
                    <w:rPr>
                      <w:rFonts w:hint="eastAsia"/>
                      <w:color w:val="auto"/>
                      <w:lang w:val="en-US" w:eastAsia="zh-CN"/>
                    </w:rPr>
                    <w:t>0.75</w:t>
                  </w:r>
                </w:p>
              </w:tc>
              <w:tc>
                <w:tcPr>
                  <w:tcW w:w="1073" w:type="dxa"/>
                  <w:noWrap w:val="0"/>
                  <w:vAlign w:val="center"/>
                </w:tcPr>
                <w:p w14:paraId="1E894F60">
                  <w:pPr>
                    <w:pStyle w:val="24"/>
                    <w:bidi w:val="0"/>
                    <w:jc w:val="center"/>
                    <w:rPr>
                      <w:rFonts w:hint="default"/>
                      <w:color w:val="auto"/>
                      <w:lang w:val="en-US" w:eastAsia="zh-CN"/>
                    </w:rPr>
                  </w:pPr>
                  <w:r>
                    <w:rPr>
                      <w:rFonts w:hint="eastAsia"/>
                      <w:color w:val="auto"/>
                      <w:lang w:val="en-US" w:eastAsia="zh-CN"/>
                    </w:rPr>
                    <w:t>250</w:t>
                  </w:r>
                </w:p>
              </w:tc>
              <w:tc>
                <w:tcPr>
                  <w:tcW w:w="1015" w:type="dxa"/>
                  <w:noWrap w:val="0"/>
                  <w:vAlign w:val="center"/>
                </w:tcPr>
                <w:p w14:paraId="68ACDCD6">
                  <w:pPr>
                    <w:pStyle w:val="24"/>
                    <w:bidi w:val="0"/>
                    <w:jc w:val="center"/>
                    <w:rPr>
                      <w:rFonts w:hint="default"/>
                      <w:color w:val="auto"/>
                      <w:lang w:val="en-US" w:eastAsia="zh-CN"/>
                    </w:rPr>
                  </w:pPr>
                  <w:r>
                    <w:rPr>
                      <w:rFonts w:hint="eastAsia"/>
                      <w:color w:val="auto"/>
                      <w:lang w:val="en-US" w:eastAsia="zh-CN"/>
                    </w:rPr>
                    <w:t>0.6</w:t>
                  </w:r>
                </w:p>
              </w:tc>
              <w:tc>
                <w:tcPr>
                  <w:tcW w:w="971" w:type="dxa"/>
                  <w:noWrap w:val="0"/>
                  <w:vAlign w:val="center"/>
                </w:tcPr>
                <w:p w14:paraId="20E8FCCA">
                  <w:pPr>
                    <w:pStyle w:val="24"/>
                    <w:bidi w:val="0"/>
                    <w:jc w:val="center"/>
                    <w:rPr>
                      <w:rFonts w:hint="default"/>
                      <w:color w:val="auto"/>
                      <w:lang w:val="en-US" w:eastAsia="zh-CN"/>
                    </w:rPr>
                  </w:pPr>
                  <w:r>
                    <w:rPr>
                      <w:rFonts w:hint="eastAsia"/>
                      <w:color w:val="auto"/>
                      <w:lang w:val="en-US" w:eastAsia="zh-CN"/>
                    </w:rPr>
                    <w:t>200</w:t>
                  </w:r>
                </w:p>
              </w:tc>
              <w:tc>
                <w:tcPr>
                  <w:tcW w:w="993" w:type="dxa"/>
                  <w:noWrap w:val="0"/>
                  <w:vAlign w:val="center"/>
                </w:tcPr>
                <w:p w14:paraId="264E8917">
                  <w:pPr>
                    <w:pStyle w:val="24"/>
                    <w:bidi w:val="0"/>
                    <w:jc w:val="center"/>
                    <w:rPr>
                      <w:rFonts w:hint="default"/>
                      <w:color w:val="auto"/>
                      <w:lang w:val="en-US" w:eastAsia="zh-CN"/>
                    </w:rPr>
                  </w:pPr>
                  <w:r>
                    <w:rPr>
                      <w:rFonts w:hint="eastAsia"/>
                      <w:color w:val="auto"/>
                      <w:lang w:val="en-US" w:eastAsia="zh-CN"/>
                    </w:rPr>
                    <w:t>0.15</w:t>
                  </w:r>
                </w:p>
              </w:tc>
              <w:tc>
                <w:tcPr>
                  <w:tcW w:w="993" w:type="dxa"/>
                  <w:noWrap w:val="0"/>
                  <w:vAlign w:val="center"/>
                </w:tcPr>
                <w:p w14:paraId="26BC4836">
                  <w:pPr>
                    <w:pStyle w:val="24"/>
                    <w:bidi w:val="0"/>
                    <w:jc w:val="center"/>
                    <w:rPr>
                      <w:rFonts w:hint="default"/>
                      <w:color w:val="auto"/>
                      <w:lang w:val="en-US" w:eastAsia="zh-CN"/>
                    </w:rPr>
                  </w:pPr>
                  <w:r>
                    <w:rPr>
                      <w:rFonts w:hint="eastAsia"/>
                      <w:color w:val="auto"/>
                      <w:lang w:val="en-US" w:eastAsia="zh-CN"/>
                    </w:rPr>
                    <w:t>50</w:t>
                  </w:r>
                </w:p>
              </w:tc>
            </w:tr>
            <w:tr w14:paraId="606E33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87" w:type="dxa"/>
                  <w:gridSpan w:val="3"/>
                  <w:noWrap w:val="0"/>
                  <w:vAlign w:val="center"/>
                </w:tcPr>
                <w:p w14:paraId="5047D88C">
                  <w:pPr>
                    <w:pStyle w:val="24"/>
                    <w:bidi w:val="0"/>
                    <w:jc w:val="center"/>
                    <w:rPr>
                      <w:rFonts w:hint="default"/>
                      <w:color w:val="auto"/>
                      <w:lang w:val="en-US" w:eastAsia="zh-CN"/>
                    </w:rPr>
                  </w:pPr>
                  <w:r>
                    <w:rPr>
                      <w:rFonts w:hint="eastAsia"/>
                      <w:color w:val="auto"/>
                      <w:lang w:val="en-US" w:eastAsia="zh-CN"/>
                    </w:rPr>
                    <w:t>总计</w:t>
                  </w:r>
                </w:p>
              </w:tc>
              <w:tc>
                <w:tcPr>
                  <w:tcW w:w="974" w:type="dxa"/>
                  <w:noWrap w:val="0"/>
                  <w:vAlign w:val="center"/>
                </w:tcPr>
                <w:p w14:paraId="72ED3DDA">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0.75</w:t>
                  </w:r>
                </w:p>
              </w:tc>
              <w:tc>
                <w:tcPr>
                  <w:tcW w:w="1073" w:type="dxa"/>
                  <w:noWrap w:val="0"/>
                  <w:vAlign w:val="center"/>
                </w:tcPr>
                <w:p w14:paraId="088FE326">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250</w:t>
                  </w:r>
                </w:p>
              </w:tc>
              <w:tc>
                <w:tcPr>
                  <w:tcW w:w="1015" w:type="dxa"/>
                  <w:noWrap w:val="0"/>
                  <w:vAlign w:val="center"/>
                </w:tcPr>
                <w:p w14:paraId="4BB53FE2">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0.6</w:t>
                  </w:r>
                </w:p>
              </w:tc>
              <w:tc>
                <w:tcPr>
                  <w:tcW w:w="971" w:type="dxa"/>
                  <w:noWrap w:val="0"/>
                  <w:vAlign w:val="center"/>
                </w:tcPr>
                <w:p w14:paraId="508FE8F1">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200</w:t>
                  </w:r>
                </w:p>
              </w:tc>
              <w:tc>
                <w:tcPr>
                  <w:tcW w:w="993" w:type="dxa"/>
                  <w:noWrap w:val="0"/>
                  <w:vAlign w:val="center"/>
                </w:tcPr>
                <w:p w14:paraId="3BC0CE65">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0.15</w:t>
                  </w:r>
                </w:p>
              </w:tc>
              <w:tc>
                <w:tcPr>
                  <w:tcW w:w="993" w:type="dxa"/>
                  <w:noWrap w:val="0"/>
                  <w:vAlign w:val="center"/>
                </w:tcPr>
                <w:p w14:paraId="691C5EDA">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50</w:t>
                  </w:r>
                </w:p>
              </w:tc>
            </w:tr>
          </w:tbl>
          <w:p w14:paraId="1CE574D0">
            <w:pPr>
              <w:pStyle w:val="26"/>
              <w:bidi w:val="0"/>
              <w:rPr>
                <w:color w:val="auto"/>
              </w:rPr>
            </w:pPr>
          </w:p>
          <w:p w14:paraId="4B4EE7D4">
            <w:pPr>
              <w:pStyle w:val="26"/>
              <w:bidi w:val="0"/>
              <w:rPr>
                <w:rFonts w:hint="eastAsia" w:eastAsia="宋体"/>
                <w:color w:val="auto"/>
                <w:lang w:eastAsia="zh-CN"/>
              </w:rPr>
            </w:pPr>
            <w:r>
              <w:rPr>
                <w:rFonts w:hint="eastAsia" w:eastAsia="宋体"/>
                <w:color w:val="auto"/>
                <w:lang w:eastAsia="zh-CN"/>
              </w:rPr>
              <w:drawing>
                <wp:inline distT="0" distB="0" distL="114300" distR="114300">
                  <wp:extent cx="5465445" cy="1503045"/>
                  <wp:effectExtent l="0" t="0" r="0" b="0"/>
                  <wp:docPr id="7" name="ECB019B1-382A-4266-B25C-5B523AA43C14-1" descr="C:/Users/Administrator/AppData/Local/Temp/wps.rqpvG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CB019B1-382A-4266-B25C-5B523AA43C14-1" descr="C:/Users/Administrator/AppData/Local/Temp/wps.rqpvGHwps"/>
                          <pic:cNvPicPr>
                            <a:picLocks noChangeAspect="1"/>
                          </pic:cNvPicPr>
                        </pic:nvPicPr>
                        <pic:blipFill>
                          <a:blip r:embed="rId9"/>
                          <a:stretch>
                            <a:fillRect/>
                          </a:stretch>
                        </pic:blipFill>
                        <pic:spPr>
                          <a:xfrm>
                            <a:off x="0" y="0"/>
                            <a:ext cx="5465445" cy="1503045"/>
                          </a:xfrm>
                          <a:prstGeom prst="rect">
                            <a:avLst/>
                          </a:prstGeom>
                          <a:noFill/>
                          <a:ln>
                            <a:noFill/>
                          </a:ln>
                        </pic:spPr>
                      </pic:pic>
                    </a:graphicData>
                  </a:graphic>
                </wp:inline>
              </w:drawing>
            </w:r>
          </w:p>
          <w:p w14:paraId="6A023084">
            <w:pPr>
              <w:pStyle w:val="27"/>
              <w:bidi w:val="0"/>
              <w:rPr>
                <w:rFonts w:hint="default"/>
                <w:color w:val="auto"/>
                <w:lang w:val="en-US" w:eastAsia="zh-CN"/>
              </w:rPr>
            </w:pPr>
            <w:r>
              <w:rPr>
                <w:rFonts w:hint="eastAsia"/>
                <w:color w:val="auto"/>
                <w:lang w:val="en-US" w:eastAsia="zh-CN"/>
              </w:rPr>
              <w:t>图2 水平衡图（m</w:t>
            </w:r>
            <w:r>
              <w:rPr>
                <w:rFonts w:hint="eastAsia"/>
                <w:color w:val="auto"/>
                <w:vertAlign w:val="superscript"/>
                <w:lang w:val="en-US" w:eastAsia="zh-CN"/>
              </w:rPr>
              <w:t>3</w:t>
            </w:r>
            <w:r>
              <w:rPr>
                <w:rFonts w:hint="eastAsia"/>
                <w:color w:val="auto"/>
                <w:lang w:val="en-US" w:eastAsia="zh-CN"/>
              </w:rPr>
              <w:t>/a）</w:t>
            </w:r>
          </w:p>
          <w:p w14:paraId="1250AD3D">
            <w:pPr>
              <w:pStyle w:val="23"/>
              <w:numPr>
                <w:ilvl w:val="0"/>
                <w:numId w:val="2"/>
              </w:numPr>
              <w:bidi w:val="0"/>
              <w:rPr>
                <w:rFonts w:hint="default"/>
                <w:color w:val="auto"/>
                <w:lang w:val="en-US" w:eastAsia="zh-CN"/>
              </w:rPr>
            </w:pPr>
            <w:r>
              <w:rPr>
                <w:rFonts w:hint="eastAsia"/>
                <w:color w:val="auto"/>
                <w:lang w:val="en-US" w:eastAsia="zh-CN"/>
              </w:rPr>
              <w:t>供电</w:t>
            </w:r>
          </w:p>
          <w:p w14:paraId="662B034C">
            <w:pPr>
              <w:pStyle w:val="23"/>
              <w:bidi w:val="0"/>
              <w:rPr>
                <w:rFonts w:hint="eastAsia"/>
                <w:color w:val="auto"/>
                <w:lang w:val="en-US" w:eastAsia="zh-CN"/>
              </w:rPr>
            </w:pPr>
            <w:r>
              <w:rPr>
                <w:rFonts w:hint="eastAsia"/>
                <w:color w:val="auto"/>
                <w:lang w:val="en-US" w:eastAsia="zh-CN"/>
              </w:rPr>
              <w:t>本项目用电由市政电网提供。</w:t>
            </w:r>
          </w:p>
          <w:p w14:paraId="359DA2E6">
            <w:pPr>
              <w:pStyle w:val="23"/>
              <w:bidi w:val="0"/>
              <w:rPr>
                <w:rFonts w:hint="eastAsia"/>
                <w:color w:val="auto"/>
                <w:lang w:val="en-US" w:eastAsia="zh-CN"/>
              </w:rPr>
            </w:pPr>
            <w:r>
              <w:rPr>
                <w:rFonts w:hint="eastAsia"/>
                <w:color w:val="auto"/>
                <w:lang w:val="en-US" w:eastAsia="zh-CN"/>
              </w:rPr>
              <w:t>（4）供热</w:t>
            </w:r>
          </w:p>
          <w:p w14:paraId="07113EEE">
            <w:pPr>
              <w:pStyle w:val="23"/>
              <w:bidi w:val="0"/>
              <w:rPr>
                <w:rFonts w:hint="default"/>
                <w:color w:val="auto"/>
                <w:lang w:val="en-US" w:eastAsia="zh-CN"/>
              </w:rPr>
            </w:pPr>
            <w:r>
              <w:rPr>
                <w:rFonts w:hint="default"/>
                <w:color w:val="auto"/>
                <w:lang w:val="en-US" w:eastAsia="zh-CN"/>
              </w:rPr>
              <w:t>本项目的采暖热源由固原市经济开发区新材料产业园蒸汽管网供应。</w:t>
            </w:r>
          </w:p>
          <w:p w14:paraId="3B5D8D13">
            <w:pPr>
              <w:pStyle w:val="23"/>
              <w:keepNext w:val="0"/>
              <w:keepLines w:val="0"/>
              <w:pageBreakBefore w:val="0"/>
              <w:numPr>
                <w:ilvl w:val="0"/>
                <w:numId w:val="1"/>
              </w:numPr>
              <w:kinsoku/>
              <w:wordWrap/>
              <w:overflowPunct/>
              <w:topLinePunct w:val="0"/>
              <w:bidi w:val="0"/>
              <w:adjustRightInd w:val="0"/>
              <w:snapToGrid w:val="0"/>
              <w:textAlignment w:val="auto"/>
              <w:rPr>
                <w:rFonts w:hint="default"/>
                <w:b/>
                <w:bCs/>
                <w:color w:val="auto"/>
                <w:lang w:val="en-US" w:eastAsia="zh-CN"/>
              </w:rPr>
            </w:pPr>
            <w:r>
              <w:rPr>
                <w:rFonts w:hint="eastAsia"/>
                <w:b/>
                <w:bCs/>
                <w:color w:val="auto"/>
                <w:lang w:val="en-US" w:eastAsia="zh-CN"/>
              </w:rPr>
              <w:t>项目选址及厂区平面布置合理性分析</w:t>
            </w:r>
          </w:p>
          <w:p w14:paraId="18AD6E85">
            <w:pPr>
              <w:pStyle w:val="51"/>
              <w:ind w:firstLine="482"/>
              <w:rPr>
                <w:rFonts w:hint="default" w:ascii="Times New Roman" w:hAnsi="Times New Roman" w:eastAsia="宋体"/>
                <w:b w:val="0"/>
                <w:bCs/>
                <w:color w:val="auto"/>
                <w:lang w:val="en-US" w:eastAsia="zh-CN"/>
              </w:rPr>
            </w:pPr>
            <w:r>
              <w:rPr>
                <w:rFonts w:hint="default" w:ascii="Times New Roman" w:hAnsi="Times New Roman" w:eastAsia="宋体" w:cs="Times New Roman"/>
                <w:color w:val="auto"/>
                <w:sz w:val="24"/>
              </w:rPr>
              <w:t>根据生产情况采用分区布置，本项目分为办公生活区、灌装区、储罐区和仓库区。办公生活区布置于厂区东南侧，设变配电间、控制室等。灌装区布置于厂区北侧，由西向东依次布置丙烷实瓶区域、乙炔实瓶间、灌装间和机泵间。储罐区布置于生产装置区东北角，设2台单罐容积为40m3的地下卧式丙烷储罐。仓库区布置于厂区西南角和东侧，西南角布置库房一、东侧布置库房二。厂区</w:t>
            </w:r>
            <w:r>
              <w:rPr>
                <w:rFonts w:hint="eastAsia" w:cs="Times New Roman"/>
                <w:color w:val="auto"/>
                <w:sz w:val="24"/>
                <w:lang w:val="en-US" w:eastAsia="zh-CN"/>
              </w:rPr>
              <w:t>内</w:t>
            </w:r>
            <w:r>
              <w:rPr>
                <w:rFonts w:hint="default" w:ascii="Times New Roman" w:hAnsi="Times New Roman" w:eastAsia="宋体" w:cs="Times New Roman"/>
                <w:color w:val="auto"/>
                <w:sz w:val="24"/>
              </w:rPr>
              <w:t>设2个出入口，其中1个位于厂区西北角，作为物流出入口，1个位于厂区南侧，作为人流出入口。该公司道路呈环形布置，消防车道宽度为6m，转弯半径不小于9m，路面上净空高度不低于5m，厂区内道路可满足本项目运输及消防需求。</w:t>
            </w:r>
            <w:r>
              <w:rPr>
                <w:rFonts w:hint="default" w:ascii="Times New Roman" w:hAnsi="Times New Roman" w:eastAsia="宋体" w:cs="Times New Roman"/>
                <w:color w:val="auto"/>
                <w:sz w:val="24"/>
                <w:lang w:eastAsia="zh-CN"/>
              </w:rPr>
              <w:t>厂区周边环境示意图详见下图</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本项目布局图详见附图9。</w:t>
            </w:r>
            <w:r>
              <w:rPr>
                <w:rFonts w:hint="default" w:ascii="Times New Roman" w:hAnsi="Times New Roman" w:eastAsia="宋体" w:cs="Times New Roman"/>
                <w:color w:val="auto"/>
                <w:sz w:val="24"/>
                <w:lang w:eastAsia="zh-CN"/>
              </w:rPr>
              <w:t>本项目设施与厂外周边设施防火间距详见下表</w:t>
            </w:r>
            <w:r>
              <w:rPr>
                <w:rFonts w:hint="eastAsia" w:ascii="Times New Roman" w:hAnsi="Times New Roman" w:eastAsia="宋体" w:cs="Times New Roman"/>
                <w:color w:val="auto"/>
                <w:sz w:val="24"/>
                <w:lang w:val="en-US" w:eastAsia="zh-CN"/>
              </w:rPr>
              <w:t>2-8</w:t>
            </w:r>
            <w:r>
              <w:rPr>
                <w:rFonts w:hint="default" w:ascii="Times New Roman" w:hAnsi="Times New Roman" w:eastAsia="宋体" w:cs="Times New Roman"/>
                <w:color w:val="auto"/>
                <w:sz w:val="24"/>
                <w:lang w:eastAsia="zh-CN"/>
              </w:rPr>
              <w:t>。</w:t>
            </w:r>
          </w:p>
          <w:p w14:paraId="2B51FA34">
            <w:pPr>
              <w:pStyle w:val="26"/>
              <w:bidi w:val="0"/>
              <w:rPr>
                <w:color w:val="auto"/>
              </w:rPr>
            </w:pPr>
            <w:r>
              <w:rPr>
                <w:color w:val="auto"/>
              </w:rPr>
              <w:drawing>
                <wp:inline distT="0" distB="0" distL="114300" distR="114300">
                  <wp:extent cx="4390390" cy="2876550"/>
                  <wp:effectExtent l="0" t="0" r="1016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rcRect t="15787"/>
                          <a:stretch>
                            <a:fillRect/>
                          </a:stretch>
                        </pic:blipFill>
                        <pic:spPr>
                          <a:xfrm>
                            <a:off x="0" y="0"/>
                            <a:ext cx="4390390" cy="2876550"/>
                          </a:xfrm>
                          <a:prstGeom prst="rect">
                            <a:avLst/>
                          </a:prstGeom>
                          <a:noFill/>
                          <a:ln>
                            <a:noFill/>
                          </a:ln>
                        </pic:spPr>
                      </pic:pic>
                    </a:graphicData>
                  </a:graphic>
                </wp:inline>
              </w:drawing>
            </w:r>
          </w:p>
          <w:p w14:paraId="2901864C">
            <w:pPr>
              <w:pStyle w:val="27"/>
              <w:bidi w:val="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图3 本项目周边布局图</w:t>
            </w:r>
          </w:p>
          <w:p w14:paraId="77A4AEB8">
            <w:pPr>
              <w:pStyle w:val="25"/>
              <w:bidi w:val="0"/>
              <w:rPr>
                <w:rFonts w:hint="default"/>
                <w:color w:val="auto"/>
                <w:lang w:val="en-US" w:eastAsia="zh-CN"/>
              </w:rPr>
            </w:pPr>
            <w:r>
              <w:rPr>
                <w:rFonts w:hint="eastAsia"/>
                <w:color w:val="auto"/>
                <w:lang w:val="en-US" w:eastAsia="zh-CN"/>
              </w:rPr>
              <w:t>表2-8         丙烷分装设施与站外建、构筑物的安全距离（m）</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02"/>
              <w:gridCol w:w="715"/>
              <w:gridCol w:w="1419"/>
              <w:gridCol w:w="1004"/>
              <w:gridCol w:w="923"/>
              <w:gridCol w:w="2953"/>
              <w:gridCol w:w="803"/>
            </w:tblGrid>
            <w:tr w14:paraId="72BFD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tcBorders>
                    <w:tl2br w:val="nil"/>
                    <w:tr2bl w:val="nil"/>
                  </w:tcBorders>
                  <w:noWrap w:val="0"/>
                  <w:vAlign w:val="center"/>
                </w:tcPr>
                <w:p w14:paraId="42D2AD3A">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名称</w:t>
                  </w:r>
                </w:p>
              </w:tc>
              <w:tc>
                <w:tcPr>
                  <w:tcW w:w="715" w:type="dxa"/>
                  <w:tcBorders>
                    <w:tl2br w:val="nil"/>
                    <w:tr2bl w:val="nil"/>
                  </w:tcBorders>
                  <w:noWrap w:val="0"/>
                  <w:vAlign w:val="center"/>
                </w:tcPr>
                <w:p w14:paraId="19DCCF86">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方位</w:t>
                  </w:r>
                </w:p>
              </w:tc>
              <w:tc>
                <w:tcPr>
                  <w:tcW w:w="1419" w:type="dxa"/>
                  <w:tcBorders>
                    <w:tl2br w:val="nil"/>
                    <w:tr2bl w:val="nil"/>
                  </w:tcBorders>
                  <w:noWrap w:val="0"/>
                  <w:vAlign w:val="center"/>
                </w:tcPr>
                <w:p w14:paraId="1F87D9C7">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建（构）筑物</w:t>
                  </w:r>
                </w:p>
              </w:tc>
              <w:tc>
                <w:tcPr>
                  <w:tcW w:w="1004" w:type="dxa"/>
                  <w:tcBorders>
                    <w:tl2br w:val="nil"/>
                    <w:tr2bl w:val="nil"/>
                  </w:tcBorders>
                  <w:noWrap w:val="0"/>
                  <w:vAlign w:val="center"/>
                </w:tcPr>
                <w:p w14:paraId="1DA0722A">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规划距离</w:t>
                  </w:r>
                  <w:r>
                    <w:rPr>
                      <w:rFonts w:hint="eastAsia" w:ascii="Times New Roman" w:hAnsi="Times New Roman" w:eastAsia="宋体" w:cs="Times New Roman"/>
                      <w:b/>
                      <w:bCs/>
                      <w:color w:val="auto"/>
                      <w:lang w:val="en-US" w:eastAsia="zh-CN"/>
                    </w:rPr>
                    <w:t>（</w:t>
                  </w:r>
                  <w:r>
                    <w:rPr>
                      <w:rFonts w:hint="default"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lang w:val="en-US" w:eastAsia="zh-CN"/>
                    </w:rPr>
                    <w:t>）</w:t>
                  </w:r>
                </w:p>
              </w:tc>
              <w:tc>
                <w:tcPr>
                  <w:tcW w:w="923" w:type="dxa"/>
                  <w:tcBorders>
                    <w:tl2br w:val="nil"/>
                    <w:tr2bl w:val="nil"/>
                  </w:tcBorders>
                  <w:noWrap w:val="0"/>
                  <w:vAlign w:val="center"/>
                </w:tcPr>
                <w:p w14:paraId="1BC7BD9E">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标准距离</w:t>
                  </w:r>
                  <w:r>
                    <w:rPr>
                      <w:rFonts w:hint="eastAsia" w:ascii="Times New Roman" w:hAnsi="Times New Roman" w:eastAsia="宋体" w:cs="Times New Roman"/>
                      <w:b/>
                      <w:bCs/>
                      <w:color w:val="auto"/>
                      <w:lang w:val="en-US" w:eastAsia="zh-CN"/>
                    </w:rPr>
                    <w:t>（</w:t>
                  </w:r>
                  <w:r>
                    <w:rPr>
                      <w:rFonts w:hint="default" w:ascii="Times New Roman" w:hAnsi="Times New Roman" w:eastAsia="宋体" w:cs="Times New Roman"/>
                      <w:b/>
                      <w:bCs/>
                      <w:color w:val="auto"/>
                      <w:lang w:val="en-US" w:eastAsia="zh-CN"/>
                    </w:rPr>
                    <w:t>m</w:t>
                  </w:r>
                  <w:r>
                    <w:rPr>
                      <w:rFonts w:hint="eastAsia" w:ascii="Times New Roman" w:hAnsi="Times New Roman" w:eastAsia="宋体" w:cs="Times New Roman"/>
                      <w:b/>
                      <w:bCs/>
                      <w:color w:val="auto"/>
                      <w:lang w:val="en-US" w:eastAsia="zh-CN"/>
                    </w:rPr>
                    <w:t>）</w:t>
                  </w:r>
                </w:p>
              </w:tc>
              <w:tc>
                <w:tcPr>
                  <w:tcW w:w="2953" w:type="dxa"/>
                  <w:tcBorders>
                    <w:tl2br w:val="nil"/>
                    <w:tr2bl w:val="nil"/>
                  </w:tcBorders>
                  <w:noWrap w:val="0"/>
                  <w:vAlign w:val="center"/>
                </w:tcPr>
                <w:p w14:paraId="0CCC2855">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依据</w:t>
                  </w:r>
                </w:p>
              </w:tc>
              <w:tc>
                <w:tcPr>
                  <w:tcW w:w="803" w:type="dxa"/>
                  <w:tcBorders>
                    <w:tl2br w:val="nil"/>
                    <w:tr2bl w:val="nil"/>
                  </w:tcBorders>
                  <w:noWrap w:val="0"/>
                  <w:vAlign w:val="center"/>
                </w:tcPr>
                <w:p w14:paraId="1944EEE9">
                  <w:pPr>
                    <w:pStyle w:val="24"/>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符合性</w:t>
                  </w:r>
                </w:p>
              </w:tc>
            </w:tr>
            <w:tr w14:paraId="214F71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restart"/>
                  <w:tcBorders>
                    <w:tl2br w:val="nil"/>
                    <w:tr2bl w:val="nil"/>
                  </w:tcBorders>
                  <w:noWrap w:val="0"/>
                  <w:vAlign w:val="center"/>
                </w:tcPr>
                <w:p w14:paraId="4A727B7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灌装站（甲类，二级）</w:t>
                  </w:r>
                </w:p>
              </w:tc>
              <w:tc>
                <w:tcPr>
                  <w:tcW w:w="715" w:type="dxa"/>
                  <w:tcBorders>
                    <w:tl2br w:val="nil"/>
                    <w:tr2bl w:val="nil"/>
                  </w:tcBorders>
                  <w:noWrap w:val="0"/>
                  <w:vAlign w:val="center"/>
                </w:tcPr>
                <w:p w14:paraId="479473F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w:t>
                  </w:r>
                </w:p>
              </w:tc>
              <w:tc>
                <w:tcPr>
                  <w:tcW w:w="1419" w:type="dxa"/>
                  <w:tcBorders>
                    <w:tl2br w:val="nil"/>
                    <w:tr2bl w:val="nil"/>
                  </w:tcBorders>
                  <w:noWrap w:val="0"/>
                  <w:vAlign w:val="center"/>
                </w:tcPr>
                <w:p w14:paraId="644FAF1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丙烷储罐区（甲类、二级）</w:t>
                  </w:r>
                </w:p>
              </w:tc>
              <w:tc>
                <w:tcPr>
                  <w:tcW w:w="1004" w:type="dxa"/>
                  <w:tcBorders>
                    <w:tl2br w:val="nil"/>
                    <w:tr2bl w:val="nil"/>
                  </w:tcBorders>
                  <w:noWrap w:val="0"/>
                  <w:vAlign w:val="center"/>
                </w:tcPr>
                <w:p w14:paraId="6913C0D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14.80</w:t>
                  </w:r>
                </w:p>
              </w:tc>
              <w:tc>
                <w:tcPr>
                  <w:tcW w:w="923" w:type="dxa"/>
                  <w:tcBorders>
                    <w:tl2br w:val="nil"/>
                    <w:tr2bl w:val="nil"/>
                  </w:tcBorders>
                  <w:noWrap w:val="0"/>
                  <w:vAlign w:val="center"/>
                </w:tcPr>
                <w:p w14:paraId="5BF67399">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0537BFE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4D0D38A7">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187D01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0DAC1FE1">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6E540AF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南</w:t>
                  </w:r>
                </w:p>
              </w:tc>
              <w:tc>
                <w:tcPr>
                  <w:tcW w:w="1419" w:type="dxa"/>
                  <w:tcBorders>
                    <w:tl2br w:val="nil"/>
                    <w:tr2bl w:val="nil"/>
                  </w:tcBorders>
                  <w:noWrap w:val="0"/>
                  <w:vAlign w:val="center"/>
                </w:tcPr>
                <w:p w14:paraId="09BD13A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库房一（丁类，二级）</w:t>
                  </w:r>
                </w:p>
              </w:tc>
              <w:tc>
                <w:tcPr>
                  <w:tcW w:w="1004" w:type="dxa"/>
                  <w:tcBorders>
                    <w:tl2br w:val="nil"/>
                    <w:tr2bl w:val="nil"/>
                  </w:tcBorders>
                  <w:noWrap w:val="0"/>
                  <w:vAlign w:val="center"/>
                </w:tcPr>
                <w:p w14:paraId="5CB57B8B">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19.62</w:t>
                  </w:r>
                </w:p>
              </w:tc>
              <w:tc>
                <w:tcPr>
                  <w:tcW w:w="923" w:type="dxa"/>
                  <w:tcBorders>
                    <w:tl2br w:val="nil"/>
                    <w:tr2bl w:val="nil"/>
                  </w:tcBorders>
                  <w:noWrap w:val="0"/>
                  <w:vAlign w:val="center"/>
                </w:tcPr>
                <w:p w14:paraId="2A18E21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w:t>
                  </w:r>
                </w:p>
              </w:tc>
              <w:tc>
                <w:tcPr>
                  <w:tcW w:w="2953" w:type="dxa"/>
                  <w:tcBorders>
                    <w:tl2br w:val="nil"/>
                    <w:tr2bl w:val="nil"/>
                  </w:tcBorders>
                  <w:noWrap w:val="0"/>
                  <w:vAlign w:val="center"/>
                </w:tcPr>
                <w:p w14:paraId="3AD45EA1">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w:t>
                  </w:r>
                  <w:r>
                    <w:rPr>
                      <w:rFonts w:hint="eastAsia"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lang w:val="en-US" w:eastAsia="zh-CN"/>
                    </w:rPr>
                    <w:t>条</w:t>
                  </w:r>
                </w:p>
              </w:tc>
              <w:tc>
                <w:tcPr>
                  <w:tcW w:w="803" w:type="dxa"/>
                  <w:tcBorders>
                    <w:tl2br w:val="nil"/>
                    <w:tr2bl w:val="nil"/>
                  </w:tcBorders>
                  <w:noWrap w:val="0"/>
                  <w:vAlign w:val="center"/>
                </w:tcPr>
                <w:p w14:paraId="37FA70C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4E1E94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05AD6337">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59DD62B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西</w:t>
                  </w:r>
                </w:p>
              </w:tc>
              <w:tc>
                <w:tcPr>
                  <w:tcW w:w="1419" w:type="dxa"/>
                  <w:tcBorders>
                    <w:tl2br w:val="nil"/>
                    <w:tr2bl w:val="nil"/>
                  </w:tcBorders>
                  <w:noWrap w:val="0"/>
                  <w:vAlign w:val="center"/>
                </w:tcPr>
                <w:p w14:paraId="49FE79A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0B93D2E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16.00</w:t>
                  </w:r>
                </w:p>
              </w:tc>
              <w:tc>
                <w:tcPr>
                  <w:tcW w:w="923" w:type="dxa"/>
                  <w:tcBorders>
                    <w:tl2br w:val="nil"/>
                    <w:tr2bl w:val="nil"/>
                  </w:tcBorders>
                  <w:noWrap w:val="0"/>
                  <w:vAlign w:val="center"/>
                </w:tcPr>
                <w:p w14:paraId="1DCAAAC4">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15</w:t>
                  </w:r>
                </w:p>
              </w:tc>
              <w:tc>
                <w:tcPr>
                  <w:tcW w:w="2953" w:type="dxa"/>
                  <w:tcBorders>
                    <w:tl2br w:val="nil"/>
                    <w:tr2bl w:val="nil"/>
                  </w:tcBorders>
                  <w:noWrap w:val="0"/>
                  <w:vAlign w:val="center"/>
                </w:tcPr>
                <w:p w14:paraId="17B1FC9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p>
              </w:tc>
              <w:tc>
                <w:tcPr>
                  <w:tcW w:w="803" w:type="dxa"/>
                  <w:tcBorders>
                    <w:tl2br w:val="nil"/>
                    <w:tr2bl w:val="nil"/>
                  </w:tcBorders>
                  <w:noWrap w:val="0"/>
                  <w:vAlign w:val="center"/>
                </w:tcPr>
                <w:p w14:paraId="7A34CCE2">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654A44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52FC6E26">
                  <w:pPr>
                    <w:pStyle w:val="24"/>
                    <w:bidi w:val="0"/>
                    <w:jc w:val="center"/>
                    <w:rPr>
                      <w:rFonts w:hint="default" w:ascii="Times New Roman" w:hAnsi="Times New Roman" w:eastAsia="宋体" w:cs="Times New Roman"/>
                      <w:b w:val="0"/>
                      <w:bCs w:val="0"/>
                      <w:color w:val="auto"/>
                      <w:lang w:val="en-US" w:eastAsia="zh-CN"/>
                    </w:rPr>
                  </w:pPr>
                </w:p>
              </w:tc>
              <w:tc>
                <w:tcPr>
                  <w:tcW w:w="715" w:type="dxa"/>
                  <w:vMerge w:val="restart"/>
                  <w:tcBorders>
                    <w:tl2br w:val="nil"/>
                    <w:tr2bl w:val="nil"/>
                  </w:tcBorders>
                  <w:noWrap w:val="0"/>
                  <w:vAlign w:val="center"/>
                </w:tcPr>
                <w:p w14:paraId="19562B3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北</w:t>
                  </w:r>
                </w:p>
              </w:tc>
              <w:tc>
                <w:tcPr>
                  <w:tcW w:w="1419" w:type="dxa"/>
                  <w:tcBorders>
                    <w:tl2br w:val="nil"/>
                    <w:tr2bl w:val="nil"/>
                  </w:tcBorders>
                  <w:noWrap w:val="0"/>
                  <w:vAlign w:val="center"/>
                </w:tcPr>
                <w:p w14:paraId="1C50F17B">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厂内道路</w:t>
                  </w:r>
                </w:p>
              </w:tc>
              <w:tc>
                <w:tcPr>
                  <w:tcW w:w="1004" w:type="dxa"/>
                  <w:tcBorders>
                    <w:tl2br w:val="nil"/>
                    <w:tr2bl w:val="nil"/>
                  </w:tcBorders>
                  <w:noWrap w:val="0"/>
                  <w:vAlign w:val="center"/>
                </w:tcPr>
                <w:p w14:paraId="25E9297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5.00</w:t>
                  </w:r>
                </w:p>
              </w:tc>
              <w:tc>
                <w:tcPr>
                  <w:tcW w:w="923" w:type="dxa"/>
                  <w:tcBorders>
                    <w:tl2br w:val="nil"/>
                    <w:tr2bl w:val="nil"/>
                  </w:tcBorders>
                  <w:noWrap w:val="0"/>
                  <w:vAlign w:val="center"/>
                </w:tcPr>
                <w:p w14:paraId="14A6D3C2">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608E248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w:t>
                  </w:r>
                  <w:r>
                    <w:rPr>
                      <w:rFonts w:hint="eastAsia" w:ascii="Times New Roman" w:hAnsi="Times New Roman" w:eastAsia="宋体" w:cs="Times New Roman"/>
                      <w:b w:val="0"/>
                      <w:bCs w:val="0"/>
                      <w:color w:val="auto"/>
                      <w:lang w:val="en-US" w:eastAsia="zh-CN"/>
                    </w:rPr>
                    <w:t>15</w:t>
                  </w:r>
                  <w:r>
                    <w:rPr>
                      <w:rFonts w:hint="default" w:ascii="Times New Roman" w:hAnsi="Times New Roman" w:eastAsia="宋体" w:cs="Times New Roman"/>
                      <w:b w:val="0"/>
                      <w:bCs w:val="0"/>
                      <w:color w:val="auto"/>
                      <w:lang w:val="en-US" w:eastAsia="zh-CN"/>
                    </w:rPr>
                    <w:t>条</w:t>
                  </w:r>
                </w:p>
              </w:tc>
              <w:tc>
                <w:tcPr>
                  <w:tcW w:w="803" w:type="dxa"/>
                  <w:tcBorders>
                    <w:tl2br w:val="nil"/>
                    <w:tr2bl w:val="nil"/>
                  </w:tcBorders>
                  <w:noWrap w:val="0"/>
                  <w:vAlign w:val="center"/>
                </w:tcPr>
                <w:p w14:paraId="0B77A7B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479163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6FB39957">
                  <w:pPr>
                    <w:pStyle w:val="24"/>
                    <w:bidi w:val="0"/>
                    <w:jc w:val="center"/>
                    <w:rPr>
                      <w:rFonts w:hint="default" w:ascii="Times New Roman" w:hAnsi="Times New Roman" w:eastAsia="宋体" w:cs="Times New Roman"/>
                      <w:b w:val="0"/>
                      <w:bCs w:val="0"/>
                      <w:color w:val="auto"/>
                      <w:lang w:val="en-US" w:eastAsia="zh-CN"/>
                    </w:rPr>
                  </w:pPr>
                </w:p>
              </w:tc>
              <w:tc>
                <w:tcPr>
                  <w:tcW w:w="715" w:type="dxa"/>
                  <w:vMerge w:val="continue"/>
                  <w:tcBorders>
                    <w:tl2br w:val="nil"/>
                    <w:tr2bl w:val="nil"/>
                  </w:tcBorders>
                  <w:noWrap w:val="0"/>
                  <w:vAlign w:val="center"/>
                </w:tcPr>
                <w:p w14:paraId="0EB8F366">
                  <w:pPr>
                    <w:pStyle w:val="24"/>
                    <w:bidi w:val="0"/>
                    <w:jc w:val="center"/>
                    <w:rPr>
                      <w:rFonts w:hint="default" w:ascii="Times New Roman" w:hAnsi="Times New Roman" w:eastAsia="宋体" w:cs="Times New Roman"/>
                      <w:b w:val="0"/>
                      <w:bCs w:val="0"/>
                      <w:color w:val="auto"/>
                      <w:lang w:val="en-US" w:eastAsia="zh-CN"/>
                    </w:rPr>
                  </w:pPr>
                </w:p>
              </w:tc>
              <w:tc>
                <w:tcPr>
                  <w:tcW w:w="1419" w:type="dxa"/>
                  <w:tcBorders>
                    <w:tl2br w:val="nil"/>
                    <w:tr2bl w:val="nil"/>
                  </w:tcBorders>
                  <w:noWrap w:val="0"/>
                  <w:vAlign w:val="center"/>
                </w:tcPr>
                <w:p w14:paraId="69123DB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3F3CCD5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11.00</w:t>
                  </w:r>
                </w:p>
              </w:tc>
              <w:tc>
                <w:tcPr>
                  <w:tcW w:w="923" w:type="dxa"/>
                  <w:tcBorders>
                    <w:tl2br w:val="nil"/>
                    <w:tr2bl w:val="nil"/>
                  </w:tcBorders>
                  <w:noWrap w:val="0"/>
                  <w:vAlign w:val="center"/>
                </w:tcPr>
                <w:p w14:paraId="233E838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72FE243D">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1F480A1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15309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restart"/>
                  <w:tcBorders>
                    <w:tl2br w:val="nil"/>
                    <w:tr2bl w:val="nil"/>
                  </w:tcBorders>
                  <w:noWrap w:val="0"/>
                  <w:vAlign w:val="center"/>
                </w:tcPr>
                <w:p w14:paraId="32508E38">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库房一（丁类，二级）</w:t>
                  </w:r>
                </w:p>
              </w:tc>
              <w:tc>
                <w:tcPr>
                  <w:tcW w:w="715" w:type="dxa"/>
                  <w:vMerge w:val="restart"/>
                  <w:tcBorders>
                    <w:tl2br w:val="nil"/>
                    <w:tr2bl w:val="nil"/>
                  </w:tcBorders>
                  <w:noWrap w:val="0"/>
                  <w:vAlign w:val="center"/>
                </w:tcPr>
                <w:p w14:paraId="21AA984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w:t>
                  </w:r>
                </w:p>
              </w:tc>
              <w:tc>
                <w:tcPr>
                  <w:tcW w:w="1419" w:type="dxa"/>
                  <w:tcBorders>
                    <w:tl2br w:val="nil"/>
                    <w:tr2bl w:val="nil"/>
                  </w:tcBorders>
                  <w:noWrap w:val="0"/>
                  <w:vAlign w:val="center"/>
                </w:tcPr>
                <w:p w14:paraId="27CD6EFF">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库房二（丁类，二级）</w:t>
                  </w:r>
                </w:p>
              </w:tc>
              <w:tc>
                <w:tcPr>
                  <w:tcW w:w="1004" w:type="dxa"/>
                  <w:tcBorders>
                    <w:tl2br w:val="nil"/>
                    <w:tr2bl w:val="nil"/>
                  </w:tcBorders>
                  <w:noWrap w:val="0"/>
                  <w:vAlign w:val="center"/>
                </w:tcPr>
                <w:p w14:paraId="0A0A40AF">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30F2884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5F8ADDB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405BD77B">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3CECEF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0BB61D19">
                  <w:pPr>
                    <w:pStyle w:val="24"/>
                    <w:bidi w:val="0"/>
                    <w:jc w:val="center"/>
                    <w:rPr>
                      <w:rFonts w:hint="eastAsia" w:ascii="Times New Roman" w:hAnsi="Times New Roman" w:eastAsia="宋体" w:cs="Times New Roman"/>
                      <w:b w:val="0"/>
                      <w:bCs w:val="0"/>
                      <w:color w:val="auto"/>
                      <w:lang w:val="en-US" w:eastAsia="zh-CN"/>
                    </w:rPr>
                  </w:pPr>
                </w:p>
              </w:tc>
              <w:tc>
                <w:tcPr>
                  <w:tcW w:w="715" w:type="dxa"/>
                  <w:vMerge w:val="continue"/>
                  <w:tcBorders>
                    <w:tl2br w:val="nil"/>
                    <w:tr2bl w:val="nil"/>
                  </w:tcBorders>
                  <w:noWrap w:val="0"/>
                  <w:vAlign w:val="center"/>
                </w:tcPr>
                <w:p w14:paraId="58C9D3EF">
                  <w:pPr>
                    <w:pStyle w:val="24"/>
                    <w:bidi w:val="0"/>
                    <w:jc w:val="center"/>
                    <w:rPr>
                      <w:rFonts w:hint="default" w:ascii="Times New Roman" w:hAnsi="Times New Roman" w:eastAsia="宋体" w:cs="Times New Roman"/>
                      <w:b w:val="0"/>
                      <w:bCs w:val="0"/>
                      <w:color w:val="auto"/>
                      <w:lang w:val="en-US" w:eastAsia="zh-CN"/>
                    </w:rPr>
                  </w:pPr>
                </w:p>
              </w:tc>
              <w:tc>
                <w:tcPr>
                  <w:tcW w:w="1419" w:type="dxa"/>
                  <w:tcBorders>
                    <w:tl2br w:val="nil"/>
                    <w:tr2bl w:val="nil"/>
                  </w:tcBorders>
                  <w:noWrap w:val="0"/>
                  <w:vAlign w:val="center"/>
                </w:tcPr>
                <w:p w14:paraId="3A744D4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办公楼（民用建筑、二级）</w:t>
                  </w:r>
                </w:p>
              </w:tc>
              <w:tc>
                <w:tcPr>
                  <w:tcW w:w="1004" w:type="dxa"/>
                  <w:tcBorders>
                    <w:tl2br w:val="nil"/>
                    <w:tr2bl w:val="nil"/>
                  </w:tcBorders>
                  <w:noWrap w:val="0"/>
                  <w:vAlign w:val="center"/>
                </w:tcPr>
                <w:p w14:paraId="767C2CC5">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2C3E2B13">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07670052">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48EE5EA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4259B2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1236EC23">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2D66B597">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南</w:t>
                  </w:r>
                </w:p>
              </w:tc>
              <w:tc>
                <w:tcPr>
                  <w:tcW w:w="1419" w:type="dxa"/>
                  <w:tcBorders>
                    <w:tl2br w:val="nil"/>
                    <w:tr2bl w:val="nil"/>
                  </w:tcBorders>
                  <w:noWrap w:val="0"/>
                  <w:vAlign w:val="center"/>
                </w:tcPr>
                <w:p w14:paraId="65EBDA8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7F1A6739">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9.22</w:t>
                  </w:r>
                </w:p>
              </w:tc>
              <w:tc>
                <w:tcPr>
                  <w:tcW w:w="923" w:type="dxa"/>
                  <w:tcBorders>
                    <w:tl2br w:val="nil"/>
                    <w:tr2bl w:val="nil"/>
                  </w:tcBorders>
                  <w:noWrap w:val="0"/>
                  <w:vAlign w:val="center"/>
                </w:tcPr>
                <w:p w14:paraId="39D0910C">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1CCC6D15">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《建筑设计防火规范》第3.4.12条</w:t>
                  </w:r>
                </w:p>
              </w:tc>
              <w:tc>
                <w:tcPr>
                  <w:tcW w:w="803" w:type="dxa"/>
                  <w:tcBorders>
                    <w:tl2br w:val="nil"/>
                    <w:tr2bl w:val="nil"/>
                  </w:tcBorders>
                  <w:noWrap w:val="0"/>
                  <w:vAlign w:val="center"/>
                </w:tcPr>
                <w:p w14:paraId="7CF664AD">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0CB04D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3E79935E">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269273D5">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西</w:t>
                  </w:r>
                </w:p>
              </w:tc>
              <w:tc>
                <w:tcPr>
                  <w:tcW w:w="1419" w:type="dxa"/>
                  <w:tcBorders>
                    <w:tl2br w:val="nil"/>
                    <w:tr2bl w:val="nil"/>
                  </w:tcBorders>
                  <w:noWrap w:val="0"/>
                  <w:vAlign w:val="center"/>
                </w:tcPr>
                <w:p w14:paraId="376F221F">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6DC031C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8.9</w:t>
                  </w:r>
                </w:p>
              </w:tc>
              <w:tc>
                <w:tcPr>
                  <w:tcW w:w="923" w:type="dxa"/>
                  <w:tcBorders>
                    <w:tl2br w:val="nil"/>
                    <w:tr2bl w:val="nil"/>
                  </w:tcBorders>
                  <w:noWrap w:val="0"/>
                  <w:vAlign w:val="center"/>
                </w:tcPr>
                <w:p w14:paraId="0A3F78E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783FA0B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《建筑设计防火规范》第3.4.12条</w:t>
                  </w:r>
                </w:p>
              </w:tc>
              <w:tc>
                <w:tcPr>
                  <w:tcW w:w="803" w:type="dxa"/>
                  <w:tcBorders>
                    <w:tl2br w:val="nil"/>
                    <w:tr2bl w:val="nil"/>
                  </w:tcBorders>
                  <w:noWrap w:val="0"/>
                  <w:vAlign w:val="center"/>
                </w:tcPr>
                <w:p w14:paraId="0CB4282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2CCE1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3460F6A0">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7D3B3FB2">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北</w:t>
                  </w:r>
                </w:p>
              </w:tc>
              <w:tc>
                <w:tcPr>
                  <w:tcW w:w="1419" w:type="dxa"/>
                  <w:tcBorders>
                    <w:tl2br w:val="nil"/>
                    <w:tr2bl w:val="nil"/>
                  </w:tcBorders>
                  <w:noWrap w:val="0"/>
                  <w:vAlign w:val="center"/>
                </w:tcPr>
                <w:p w14:paraId="745820C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灌装站（甲类，二级）</w:t>
                  </w:r>
                </w:p>
              </w:tc>
              <w:tc>
                <w:tcPr>
                  <w:tcW w:w="1004" w:type="dxa"/>
                  <w:tcBorders>
                    <w:tl2br w:val="nil"/>
                    <w:tr2bl w:val="nil"/>
                  </w:tcBorders>
                  <w:noWrap w:val="0"/>
                  <w:vAlign w:val="center"/>
                </w:tcPr>
                <w:p w14:paraId="6AB8A3A2">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19.62</w:t>
                  </w:r>
                </w:p>
              </w:tc>
              <w:tc>
                <w:tcPr>
                  <w:tcW w:w="923" w:type="dxa"/>
                  <w:tcBorders>
                    <w:tl2br w:val="nil"/>
                    <w:tr2bl w:val="nil"/>
                  </w:tcBorders>
                  <w:noWrap w:val="0"/>
                  <w:vAlign w:val="center"/>
                </w:tcPr>
                <w:p w14:paraId="4C5C5193">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w:t>
                  </w:r>
                </w:p>
              </w:tc>
              <w:tc>
                <w:tcPr>
                  <w:tcW w:w="2953" w:type="dxa"/>
                  <w:tcBorders>
                    <w:tl2br w:val="nil"/>
                    <w:tr2bl w:val="nil"/>
                  </w:tcBorders>
                  <w:noWrap w:val="0"/>
                  <w:vAlign w:val="center"/>
                </w:tcPr>
                <w:p w14:paraId="3B7F2609">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w:t>
                  </w:r>
                  <w:r>
                    <w:rPr>
                      <w:rFonts w:hint="eastAsia" w:ascii="Times New Roman" w:hAnsi="Times New Roman" w:eastAsia="宋体" w:cs="Times New Roman"/>
                      <w:b w:val="0"/>
                      <w:bCs w:val="0"/>
                      <w:color w:val="auto"/>
                      <w:lang w:val="en-US" w:eastAsia="zh-CN"/>
                    </w:rPr>
                    <w:t>5</w:t>
                  </w:r>
                  <w:r>
                    <w:rPr>
                      <w:rFonts w:hint="default" w:ascii="Times New Roman" w:hAnsi="Times New Roman" w:eastAsia="宋体" w:cs="Times New Roman"/>
                      <w:b w:val="0"/>
                      <w:bCs w:val="0"/>
                      <w:color w:val="auto"/>
                      <w:lang w:val="en-US" w:eastAsia="zh-CN"/>
                    </w:rPr>
                    <w:t>条</w:t>
                  </w:r>
                </w:p>
              </w:tc>
              <w:tc>
                <w:tcPr>
                  <w:tcW w:w="803" w:type="dxa"/>
                  <w:tcBorders>
                    <w:tl2br w:val="nil"/>
                    <w:tr2bl w:val="nil"/>
                  </w:tcBorders>
                  <w:noWrap w:val="0"/>
                  <w:vAlign w:val="center"/>
                </w:tcPr>
                <w:p w14:paraId="5ED084E4">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20B15A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restart"/>
                  <w:tcBorders>
                    <w:tl2br w:val="nil"/>
                    <w:tr2bl w:val="nil"/>
                  </w:tcBorders>
                  <w:noWrap w:val="0"/>
                  <w:vAlign w:val="center"/>
                </w:tcPr>
                <w:p w14:paraId="353F886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库房二（丁类，二级）</w:t>
                  </w:r>
                </w:p>
              </w:tc>
              <w:tc>
                <w:tcPr>
                  <w:tcW w:w="715" w:type="dxa"/>
                  <w:tcBorders>
                    <w:tl2br w:val="nil"/>
                    <w:tr2bl w:val="nil"/>
                  </w:tcBorders>
                  <w:noWrap w:val="0"/>
                  <w:vAlign w:val="center"/>
                </w:tcPr>
                <w:p w14:paraId="5E08B33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w:t>
                  </w:r>
                </w:p>
              </w:tc>
              <w:tc>
                <w:tcPr>
                  <w:tcW w:w="1419" w:type="dxa"/>
                  <w:tcBorders>
                    <w:tl2br w:val="nil"/>
                    <w:tr2bl w:val="nil"/>
                  </w:tcBorders>
                  <w:noWrap w:val="0"/>
                  <w:vAlign w:val="center"/>
                </w:tcPr>
                <w:p w14:paraId="75277675">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54DF00B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5.14</w:t>
                  </w:r>
                </w:p>
              </w:tc>
              <w:tc>
                <w:tcPr>
                  <w:tcW w:w="923" w:type="dxa"/>
                  <w:tcBorders>
                    <w:tl2br w:val="nil"/>
                    <w:tr2bl w:val="nil"/>
                  </w:tcBorders>
                  <w:noWrap w:val="0"/>
                  <w:vAlign w:val="center"/>
                </w:tcPr>
                <w:p w14:paraId="2619BB6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14E3693D">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《建筑设计防火规范》第3.4.12条</w:t>
                  </w:r>
                </w:p>
              </w:tc>
              <w:tc>
                <w:tcPr>
                  <w:tcW w:w="803" w:type="dxa"/>
                  <w:tcBorders>
                    <w:tl2br w:val="nil"/>
                    <w:tr2bl w:val="nil"/>
                  </w:tcBorders>
                  <w:noWrap w:val="0"/>
                  <w:vAlign w:val="center"/>
                </w:tcPr>
                <w:p w14:paraId="794FB9BB">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047F5A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55C2F59E">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59F7EEC8">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南</w:t>
                  </w:r>
                </w:p>
              </w:tc>
              <w:tc>
                <w:tcPr>
                  <w:tcW w:w="1419" w:type="dxa"/>
                  <w:tcBorders>
                    <w:tl2br w:val="nil"/>
                    <w:tr2bl w:val="nil"/>
                  </w:tcBorders>
                  <w:noWrap w:val="0"/>
                  <w:vAlign w:val="center"/>
                </w:tcPr>
                <w:p w14:paraId="7134A94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办公楼（民用建筑、二级）</w:t>
                  </w:r>
                </w:p>
              </w:tc>
              <w:tc>
                <w:tcPr>
                  <w:tcW w:w="1004" w:type="dxa"/>
                  <w:tcBorders>
                    <w:tl2br w:val="nil"/>
                    <w:tr2bl w:val="nil"/>
                  </w:tcBorders>
                  <w:noWrap w:val="0"/>
                  <w:vAlign w:val="center"/>
                </w:tcPr>
                <w:p w14:paraId="57E83488">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624D64F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73C8FAC0">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6E97BEE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3CEE1E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2D484D53">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59C98738">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西</w:t>
                  </w:r>
                </w:p>
              </w:tc>
              <w:tc>
                <w:tcPr>
                  <w:tcW w:w="1419" w:type="dxa"/>
                  <w:tcBorders>
                    <w:tl2br w:val="nil"/>
                    <w:tr2bl w:val="nil"/>
                  </w:tcBorders>
                  <w:noWrap w:val="0"/>
                  <w:vAlign w:val="center"/>
                </w:tcPr>
                <w:p w14:paraId="742454C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库房一（丁类，二级）</w:t>
                  </w:r>
                </w:p>
              </w:tc>
              <w:tc>
                <w:tcPr>
                  <w:tcW w:w="1004" w:type="dxa"/>
                  <w:tcBorders>
                    <w:tl2br w:val="nil"/>
                    <w:tr2bl w:val="nil"/>
                  </w:tcBorders>
                  <w:noWrap w:val="0"/>
                  <w:vAlign w:val="center"/>
                </w:tcPr>
                <w:p w14:paraId="5179DB00">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05C17E19">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46A7E00D">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1628CAD2">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181C74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6B3E15B5">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3A2C0B3E">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北</w:t>
                  </w:r>
                </w:p>
              </w:tc>
              <w:tc>
                <w:tcPr>
                  <w:tcW w:w="1419" w:type="dxa"/>
                  <w:tcBorders>
                    <w:tl2br w:val="nil"/>
                    <w:tr2bl w:val="nil"/>
                  </w:tcBorders>
                  <w:noWrap w:val="0"/>
                  <w:vAlign w:val="center"/>
                </w:tcPr>
                <w:p w14:paraId="097264A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丙烷储罐区（甲类、一级）</w:t>
                  </w:r>
                </w:p>
              </w:tc>
              <w:tc>
                <w:tcPr>
                  <w:tcW w:w="1004" w:type="dxa"/>
                  <w:tcBorders>
                    <w:tl2br w:val="nil"/>
                    <w:tr2bl w:val="nil"/>
                  </w:tcBorders>
                  <w:noWrap w:val="0"/>
                  <w:vAlign w:val="center"/>
                </w:tcPr>
                <w:p w14:paraId="06D698D4">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19.62</w:t>
                  </w:r>
                </w:p>
              </w:tc>
              <w:tc>
                <w:tcPr>
                  <w:tcW w:w="923" w:type="dxa"/>
                  <w:tcBorders>
                    <w:tl2br w:val="nil"/>
                    <w:tr2bl w:val="nil"/>
                  </w:tcBorders>
                  <w:noWrap w:val="0"/>
                  <w:vAlign w:val="center"/>
                </w:tcPr>
                <w:p w14:paraId="5C6F3062">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15</w:t>
                  </w:r>
                </w:p>
              </w:tc>
              <w:tc>
                <w:tcPr>
                  <w:tcW w:w="2953" w:type="dxa"/>
                  <w:tcBorders>
                    <w:tl2br w:val="nil"/>
                    <w:tr2bl w:val="nil"/>
                  </w:tcBorders>
                  <w:noWrap w:val="0"/>
                  <w:vAlign w:val="center"/>
                </w:tcPr>
                <w:p w14:paraId="30A363E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1F86B759">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484CF1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restart"/>
                  <w:tcBorders>
                    <w:tl2br w:val="nil"/>
                    <w:tr2bl w:val="nil"/>
                  </w:tcBorders>
                  <w:noWrap w:val="0"/>
                  <w:vAlign w:val="center"/>
                </w:tcPr>
                <w:p w14:paraId="7C43DD55">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办公楼（民用建筑、二级）</w:t>
                  </w:r>
                </w:p>
              </w:tc>
              <w:tc>
                <w:tcPr>
                  <w:tcW w:w="715" w:type="dxa"/>
                  <w:tcBorders>
                    <w:tl2br w:val="nil"/>
                    <w:tr2bl w:val="nil"/>
                  </w:tcBorders>
                  <w:noWrap w:val="0"/>
                  <w:vAlign w:val="center"/>
                </w:tcPr>
                <w:p w14:paraId="4CC6396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w:t>
                  </w:r>
                </w:p>
              </w:tc>
              <w:tc>
                <w:tcPr>
                  <w:tcW w:w="1419" w:type="dxa"/>
                  <w:tcBorders>
                    <w:tl2br w:val="nil"/>
                    <w:tr2bl w:val="nil"/>
                  </w:tcBorders>
                  <w:noWrap w:val="0"/>
                  <w:vAlign w:val="center"/>
                </w:tcPr>
                <w:p w14:paraId="39E648B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6C43DB5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5.14</w:t>
                  </w:r>
                </w:p>
              </w:tc>
              <w:tc>
                <w:tcPr>
                  <w:tcW w:w="923" w:type="dxa"/>
                  <w:tcBorders>
                    <w:tl2br w:val="nil"/>
                    <w:tr2bl w:val="nil"/>
                  </w:tcBorders>
                  <w:noWrap w:val="0"/>
                  <w:vAlign w:val="center"/>
                </w:tcPr>
                <w:p w14:paraId="1F147FA8">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55C26439">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《建筑设计防火规范》第3.4.12条</w:t>
                  </w:r>
                </w:p>
              </w:tc>
              <w:tc>
                <w:tcPr>
                  <w:tcW w:w="803" w:type="dxa"/>
                  <w:tcBorders>
                    <w:tl2br w:val="nil"/>
                    <w:tr2bl w:val="nil"/>
                  </w:tcBorders>
                  <w:noWrap w:val="0"/>
                  <w:vAlign w:val="center"/>
                </w:tcPr>
                <w:p w14:paraId="1FEA677B">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7EFB9D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05C12BCB">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2C2BAF64">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南</w:t>
                  </w:r>
                </w:p>
              </w:tc>
              <w:tc>
                <w:tcPr>
                  <w:tcW w:w="1419" w:type="dxa"/>
                  <w:tcBorders>
                    <w:tl2br w:val="nil"/>
                    <w:tr2bl w:val="nil"/>
                  </w:tcBorders>
                  <w:noWrap w:val="0"/>
                  <w:vAlign w:val="center"/>
                </w:tcPr>
                <w:p w14:paraId="436855D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402D3C38">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5.00</w:t>
                  </w:r>
                </w:p>
              </w:tc>
              <w:tc>
                <w:tcPr>
                  <w:tcW w:w="923" w:type="dxa"/>
                  <w:tcBorders>
                    <w:tl2br w:val="nil"/>
                    <w:tr2bl w:val="nil"/>
                  </w:tcBorders>
                  <w:noWrap w:val="0"/>
                  <w:vAlign w:val="center"/>
                </w:tcPr>
                <w:p w14:paraId="1BC4E70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3F85199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《建筑设计防火规范》第3.4.12条</w:t>
                  </w:r>
                </w:p>
              </w:tc>
              <w:tc>
                <w:tcPr>
                  <w:tcW w:w="803" w:type="dxa"/>
                  <w:tcBorders>
                    <w:tl2br w:val="nil"/>
                    <w:tr2bl w:val="nil"/>
                  </w:tcBorders>
                  <w:noWrap w:val="0"/>
                  <w:vAlign w:val="center"/>
                </w:tcPr>
                <w:p w14:paraId="6D465632">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3F6D38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5F4DE03A">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4D7EAB66">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西</w:t>
                  </w:r>
                </w:p>
              </w:tc>
              <w:tc>
                <w:tcPr>
                  <w:tcW w:w="1419" w:type="dxa"/>
                  <w:tcBorders>
                    <w:tl2br w:val="nil"/>
                    <w:tr2bl w:val="nil"/>
                  </w:tcBorders>
                  <w:noWrap w:val="0"/>
                  <w:vAlign w:val="center"/>
                </w:tcPr>
                <w:p w14:paraId="3E1E3340">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库房一（丁类，二级）</w:t>
                  </w:r>
                </w:p>
              </w:tc>
              <w:tc>
                <w:tcPr>
                  <w:tcW w:w="1004" w:type="dxa"/>
                  <w:tcBorders>
                    <w:tl2br w:val="nil"/>
                    <w:tr2bl w:val="nil"/>
                  </w:tcBorders>
                  <w:noWrap w:val="0"/>
                  <w:vAlign w:val="center"/>
                </w:tcPr>
                <w:p w14:paraId="4D93166C">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5B8A263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58E546BC">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7D8BEB4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66CC2C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2107168D">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1484BF1A">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北</w:t>
                  </w:r>
                </w:p>
              </w:tc>
              <w:tc>
                <w:tcPr>
                  <w:tcW w:w="1419" w:type="dxa"/>
                  <w:tcBorders>
                    <w:tl2br w:val="nil"/>
                    <w:tr2bl w:val="nil"/>
                  </w:tcBorders>
                  <w:noWrap w:val="0"/>
                  <w:vAlign w:val="center"/>
                </w:tcPr>
                <w:p w14:paraId="0143AA80">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库房二（丁类，二级）</w:t>
                  </w:r>
                </w:p>
              </w:tc>
              <w:tc>
                <w:tcPr>
                  <w:tcW w:w="1004" w:type="dxa"/>
                  <w:tcBorders>
                    <w:tl2br w:val="nil"/>
                    <w:tr2bl w:val="nil"/>
                  </w:tcBorders>
                  <w:noWrap w:val="0"/>
                  <w:vAlign w:val="center"/>
                </w:tcPr>
                <w:p w14:paraId="706D2887">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10.00</w:t>
                  </w:r>
                </w:p>
              </w:tc>
              <w:tc>
                <w:tcPr>
                  <w:tcW w:w="923" w:type="dxa"/>
                  <w:tcBorders>
                    <w:tl2br w:val="nil"/>
                    <w:tr2bl w:val="nil"/>
                  </w:tcBorders>
                  <w:noWrap w:val="0"/>
                  <w:vAlign w:val="center"/>
                </w:tcPr>
                <w:p w14:paraId="62A8D582">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0853D5A7">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《建筑设计防火规范》第3.4.1条</w:t>
                  </w:r>
                </w:p>
              </w:tc>
              <w:tc>
                <w:tcPr>
                  <w:tcW w:w="803" w:type="dxa"/>
                  <w:tcBorders>
                    <w:tl2br w:val="nil"/>
                    <w:tr2bl w:val="nil"/>
                  </w:tcBorders>
                  <w:noWrap w:val="0"/>
                  <w:vAlign w:val="center"/>
                </w:tcPr>
                <w:p w14:paraId="4372577F">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6F9B3A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restart"/>
                  <w:tcBorders>
                    <w:tl2br w:val="nil"/>
                    <w:tr2bl w:val="nil"/>
                  </w:tcBorders>
                  <w:noWrap w:val="0"/>
                  <w:vAlign w:val="center"/>
                </w:tcPr>
                <w:p w14:paraId="5682A349">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丙烷储罐区（甲类、一级）</w:t>
                  </w:r>
                </w:p>
              </w:tc>
              <w:tc>
                <w:tcPr>
                  <w:tcW w:w="715" w:type="dxa"/>
                  <w:vMerge w:val="restart"/>
                  <w:tcBorders>
                    <w:tl2br w:val="nil"/>
                    <w:tr2bl w:val="nil"/>
                  </w:tcBorders>
                  <w:noWrap w:val="0"/>
                  <w:vAlign w:val="center"/>
                </w:tcPr>
                <w:p w14:paraId="5E32B7E4">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东</w:t>
                  </w:r>
                </w:p>
              </w:tc>
              <w:tc>
                <w:tcPr>
                  <w:tcW w:w="1419" w:type="dxa"/>
                  <w:tcBorders>
                    <w:tl2br w:val="nil"/>
                    <w:tr2bl w:val="nil"/>
                  </w:tcBorders>
                  <w:noWrap w:val="0"/>
                  <w:vAlign w:val="center"/>
                </w:tcPr>
                <w:p w14:paraId="3C2D02E0">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71E21A4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12.16</w:t>
                  </w:r>
                </w:p>
              </w:tc>
              <w:tc>
                <w:tcPr>
                  <w:tcW w:w="923" w:type="dxa"/>
                  <w:tcBorders>
                    <w:tl2br w:val="nil"/>
                    <w:tr2bl w:val="nil"/>
                  </w:tcBorders>
                  <w:noWrap w:val="0"/>
                  <w:vAlign w:val="center"/>
                </w:tcPr>
                <w:p w14:paraId="4B0BAB3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49A95AD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776AC28D">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3B6FA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248938AC">
                  <w:pPr>
                    <w:pStyle w:val="24"/>
                    <w:bidi w:val="0"/>
                    <w:jc w:val="center"/>
                    <w:rPr>
                      <w:rFonts w:hint="eastAsia" w:ascii="Times New Roman" w:hAnsi="Times New Roman" w:eastAsia="宋体" w:cs="Times New Roman"/>
                      <w:b w:val="0"/>
                      <w:bCs w:val="0"/>
                      <w:color w:val="auto"/>
                      <w:lang w:val="en-US" w:eastAsia="zh-CN"/>
                    </w:rPr>
                  </w:pPr>
                </w:p>
              </w:tc>
              <w:tc>
                <w:tcPr>
                  <w:tcW w:w="715" w:type="dxa"/>
                  <w:vMerge w:val="continue"/>
                  <w:tcBorders>
                    <w:tl2br w:val="nil"/>
                    <w:tr2bl w:val="nil"/>
                  </w:tcBorders>
                  <w:noWrap w:val="0"/>
                  <w:vAlign w:val="center"/>
                </w:tcPr>
                <w:p w14:paraId="65051006">
                  <w:pPr>
                    <w:pStyle w:val="24"/>
                    <w:bidi w:val="0"/>
                    <w:jc w:val="center"/>
                    <w:rPr>
                      <w:rFonts w:hint="default" w:ascii="Times New Roman" w:hAnsi="Times New Roman" w:eastAsia="宋体" w:cs="Times New Roman"/>
                      <w:b w:val="0"/>
                      <w:bCs w:val="0"/>
                      <w:color w:val="auto"/>
                      <w:lang w:val="en-US" w:eastAsia="zh-CN"/>
                    </w:rPr>
                  </w:pPr>
                </w:p>
              </w:tc>
              <w:tc>
                <w:tcPr>
                  <w:tcW w:w="1419" w:type="dxa"/>
                  <w:tcBorders>
                    <w:tl2br w:val="nil"/>
                    <w:tr2bl w:val="nil"/>
                  </w:tcBorders>
                  <w:noWrap w:val="0"/>
                  <w:vAlign w:val="center"/>
                </w:tcPr>
                <w:p w14:paraId="3D97A52C">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厂内道路</w:t>
                  </w:r>
                </w:p>
              </w:tc>
              <w:tc>
                <w:tcPr>
                  <w:tcW w:w="1004" w:type="dxa"/>
                  <w:tcBorders>
                    <w:tl2br w:val="nil"/>
                    <w:tr2bl w:val="nil"/>
                  </w:tcBorders>
                  <w:noWrap w:val="0"/>
                  <w:vAlign w:val="center"/>
                </w:tcPr>
                <w:p w14:paraId="7A24B70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6.20</w:t>
                  </w:r>
                </w:p>
              </w:tc>
              <w:tc>
                <w:tcPr>
                  <w:tcW w:w="923" w:type="dxa"/>
                  <w:tcBorders>
                    <w:tl2br w:val="nil"/>
                    <w:tr2bl w:val="nil"/>
                  </w:tcBorders>
                  <w:noWrap w:val="0"/>
                  <w:vAlign w:val="center"/>
                </w:tcPr>
                <w:p w14:paraId="7A9F4E76">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24810327">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w:t>
                  </w:r>
                  <w:r>
                    <w:rPr>
                      <w:rFonts w:hint="eastAsia"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val="en-US" w:eastAsia="zh-CN"/>
                    </w:rPr>
                    <w:t>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248EC9ED">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1F2659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22C7180A">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6E104CAD">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南</w:t>
                  </w:r>
                </w:p>
              </w:tc>
              <w:tc>
                <w:tcPr>
                  <w:tcW w:w="1419" w:type="dxa"/>
                  <w:tcBorders>
                    <w:tl2br w:val="nil"/>
                    <w:tr2bl w:val="nil"/>
                  </w:tcBorders>
                  <w:noWrap w:val="0"/>
                  <w:vAlign w:val="center"/>
                </w:tcPr>
                <w:p w14:paraId="09F7334C">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库房二（丁类，二级）</w:t>
                  </w:r>
                </w:p>
              </w:tc>
              <w:tc>
                <w:tcPr>
                  <w:tcW w:w="1004" w:type="dxa"/>
                  <w:tcBorders>
                    <w:tl2br w:val="nil"/>
                    <w:tr2bl w:val="nil"/>
                  </w:tcBorders>
                  <w:noWrap w:val="0"/>
                  <w:vAlign w:val="center"/>
                </w:tcPr>
                <w:p w14:paraId="6A998B41">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19.62</w:t>
                  </w:r>
                </w:p>
              </w:tc>
              <w:tc>
                <w:tcPr>
                  <w:tcW w:w="923" w:type="dxa"/>
                  <w:tcBorders>
                    <w:tl2br w:val="nil"/>
                    <w:tr2bl w:val="nil"/>
                  </w:tcBorders>
                  <w:noWrap w:val="0"/>
                  <w:vAlign w:val="center"/>
                </w:tcPr>
                <w:p w14:paraId="40A72814">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15</w:t>
                  </w:r>
                </w:p>
              </w:tc>
              <w:tc>
                <w:tcPr>
                  <w:tcW w:w="2953" w:type="dxa"/>
                  <w:tcBorders>
                    <w:tl2br w:val="nil"/>
                    <w:tr2bl w:val="nil"/>
                  </w:tcBorders>
                  <w:noWrap w:val="0"/>
                  <w:vAlign w:val="center"/>
                </w:tcPr>
                <w:p w14:paraId="6E419E2C">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27B92988">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4BA530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028CAC3C">
                  <w:pPr>
                    <w:pStyle w:val="24"/>
                    <w:bidi w:val="0"/>
                    <w:jc w:val="center"/>
                    <w:rPr>
                      <w:rFonts w:hint="default" w:ascii="Times New Roman" w:hAnsi="Times New Roman" w:eastAsia="宋体" w:cs="Times New Roman"/>
                      <w:b w:val="0"/>
                      <w:bCs w:val="0"/>
                      <w:color w:val="auto"/>
                      <w:lang w:val="en-US" w:eastAsia="zh-CN"/>
                    </w:rPr>
                  </w:pPr>
                </w:p>
              </w:tc>
              <w:tc>
                <w:tcPr>
                  <w:tcW w:w="715" w:type="dxa"/>
                  <w:tcBorders>
                    <w:tl2br w:val="nil"/>
                    <w:tr2bl w:val="nil"/>
                  </w:tcBorders>
                  <w:noWrap w:val="0"/>
                  <w:vAlign w:val="center"/>
                </w:tcPr>
                <w:p w14:paraId="33ECD53C">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西</w:t>
                  </w:r>
                </w:p>
              </w:tc>
              <w:tc>
                <w:tcPr>
                  <w:tcW w:w="1419" w:type="dxa"/>
                  <w:tcBorders>
                    <w:tl2br w:val="nil"/>
                    <w:tr2bl w:val="nil"/>
                  </w:tcBorders>
                  <w:noWrap w:val="0"/>
                  <w:vAlign w:val="center"/>
                </w:tcPr>
                <w:p w14:paraId="3D33913E">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灌装站（甲类，二级）</w:t>
                  </w:r>
                </w:p>
              </w:tc>
              <w:tc>
                <w:tcPr>
                  <w:tcW w:w="1004" w:type="dxa"/>
                  <w:tcBorders>
                    <w:tl2br w:val="nil"/>
                    <w:tr2bl w:val="nil"/>
                  </w:tcBorders>
                  <w:noWrap w:val="0"/>
                  <w:vAlign w:val="center"/>
                </w:tcPr>
                <w:p w14:paraId="43F34E3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14.80</w:t>
                  </w:r>
                </w:p>
              </w:tc>
              <w:tc>
                <w:tcPr>
                  <w:tcW w:w="923" w:type="dxa"/>
                  <w:tcBorders>
                    <w:tl2br w:val="nil"/>
                    <w:tr2bl w:val="nil"/>
                  </w:tcBorders>
                  <w:noWrap w:val="0"/>
                  <w:vAlign w:val="center"/>
                </w:tcPr>
                <w:p w14:paraId="01F3F64D">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010A676E">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053CEEB3">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5A9FE5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7CE8D01A">
                  <w:pPr>
                    <w:pStyle w:val="24"/>
                    <w:bidi w:val="0"/>
                    <w:jc w:val="center"/>
                    <w:rPr>
                      <w:rFonts w:hint="default" w:ascii="Times New Roman" w:hAnsi="Times New Roman" w:eastAsia="宋体" w:cs="Times New Roman"/>
                      <w:b w:val="0"/>
                      <w:bCs w:val="0"/>
                      <w:color w:val="auto"/>
                      <w:lang w:val="en-US" w:eastAsia="zh-CN"/>
                    </w:rPr>
                  </w:pPr>
                </w:p>
              </w:tc>
              <w:tc>
                <w:tcPr>
                  <w:tcW w:w="715" w:type="dxa"/>
                  <w:vMerge w:val="restart"/>
                  <w:tcBorders>
                    <w:tl2br w:val="nil"/>
                    <w:tr2bl w:val="nil"/>
                  </w:tcBorders>
                  <w:noWrap w:val="0"/>
                  <w:vAlign w:val="center"/>
                </w:tcPr>
                <w:p w14:paraId="4B7BD99F">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北</w:t>
                  </w:r>
                </w:p>
              </w:tc>
              <w:tc>
                <w:tcPr>
                  <w:tcW w:w="1419" w:type="dxa"/>
                  <w:tcBorders>
                    <w:tl2br w:val="nil"/>
                    <w:tr2bl w:val="nil"/>
                  </w:tcBorders>
                  <w:noWrap w:val="0"/>
                  <w:vAlign w:val="center"/>
                </w:tcPr>
                <w:p w14:paraId="6CA29AA1">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厂内道路</w:t>
                  </w:r>
                </w:p>
              </w:tc>
              <w:tc>
                <w:tcPr>
                  <w:tcW w:w="1004" w:type="dxa"/>
                  <w:tcBorders>
                    <w:tl2br w:val="nil"/>
                    <w:tr2bl w:val="nil"/>
                  </w:tcBorders>
                  <w:noWrap w:val="0"/>
                  <w:vAlign w:val="center"/>
                </w:tcPr>
                <w:p w14:paraId="4AD39457">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6.20</w:t>
                  </w:r>
                </w:p>
              </w:tc>
              <w:tc>
                <w:tcPr>
                  <w:tcW w:w="923" w:type="dxa"/>
                  <w:tcBorders>
                    <w:tl2br w:val="nil"/>
                    <w:tr2bl w:val="nil"/>
                  </w:tcBorders>
                  <w:noWrap w:val="0"/>
                  <w:vAlign w:val="center"/>
                </w:tcPr>
                <w:p w14:paraId="760C5158">
                  <w:pPr>
                    <w:pStyle w:val="24"/>
                    <w:bidi w:val="0"/>
                    <w:jc w:val="center"/>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w:t>
                  </w:r>
                </w:p>
              </w:tc>
              <w:tc>
                <w:tcPr>
                  <w:tcW w:w="2953" w:type="dxa"/>
                  <w:tcBorders>
                    <w:tl2br w:val="nil"/>
                    <w:tr2bl w:val="nil"/>
                  </w:tcBorders>
                  <w:noWrap w:val="0"/>
                  <w:vAlign w:val="center"/>
                </w:tcPr>
                <w:p w14:paraId="595A5107">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w:t>
                  </w:r>
                  <w:r>
                    <w:rPr>
                      <w:rFonts w:hint="eastAsia" w:ascii="Times New Roman" w:hAnsi="Times New Roman" w:eastAsia="宋体" w:cs="Times New Roman"/>
                      <w:b w:val="0"/>
                      <w:bCs w:val="0"/>
                      <w:color w:val="auto"/>
                      <w:lang w:val="en-US" w:eastAsia="zh-CN"/>
                    </w:rPr>
                    <w:t>10</w:t>
                  </w:r>
                  <w:r>
                    <w:rPr>
                      <w:rFonts w:hint="default" w:ascii="Times New Roman" w:hAnsi="Times New Roman" w:eastAsia="宋体" w:cs="Times New Roman"/>
                      <w:b w:val="0"/>
                      <w:bCs w:val="0"/>
                      <w:color w:val="auto"/>
                      <w:lang w:val="en-US" w:eastAsia="zh-CN"/>
                    </w:rPr>
                    <w:t>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4992E83C">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r w14:paraId="0A69C7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02" w:type="dxa"/>
                  <w:vMerge w:val="continue"/>
                  <w:tcBorders>
                    <w:tl2br w:val="nil"/>
                    <w:tr2bl w:val="nil"/>
                  </w:tcBorders>
                  <w:noWrap w:val="0"/>
                  <w:vAlign w:val="center"/>
                </w:tcPr>
                <w:p w14:paraId="2472B1A7">
                  <w:pPr>
                    <w:pStyle w:val="24"/>
                    <w:bidi w:val="0"/>
                    <w:jc w:val="center"/>
                    <w:rPr>
                      <w:rFonts w:hint="default" w:ascii="Times New Roman" w:hAnsi="Times New Roman" w:eastAsia="宋体" w:cs="Times New Roman"/>
                      <w:b w:val="0"/>
                      <w:bCs w:val="0"/>
                      <w:color w:val="auto"/>
                      <w:lang w:val="en-US" w:eastAsia="zh-CN"/>
                    </w:rPr>
                  </w:pPr>
                </w:p>
              </w:tc>
              <w:tc>
                <w:tcPr>
                  <w:tcW w:w="715" w:type="dxa"/>
                  <w:vMerge w:val="continue"/>
                  <w:tcBorders>
                    <w:tl2br w:val="nil"/>
                    <w:tr2bl w:val="nil"/>
                  </w:tcBorders>
                  <w:noWrap w:val="0"/>
                  <w:vAlign w:val="center"/>
                </w:tcPr>
                <w:p w14:paraId="79C8A0C8">
                  <w:pPr>
                    <w:pStyle w:val="24"/>
                    <w:bidi w:val="0"/>
                    <w:jc w:val="center"/>
                    <w:rPr>
                      <w:rFonts w:hint="default" w:ascii="Times New Roman" w:hAnsi="Times New Roman" w:eastAsia="宋体" w:cs="Times New Roman"/>
                      <w:b w:val="0"/>
                      <w:bCs w:val="0"/>
                      <w:color w:val="auto"/>
                      <w:lang w:val="en-US" w:eastAsia="zh-CN"/>
                    </w:rPr>
                  </w:pPr>
                </w:p>
              </w:tc>
              <w:tc>
                <w:tcPr>
                  <w:tcW w:w="1419" w:type="dxa"/>
                  <w:tcBorders>
                    <w:tl2br w:val="nil"/>
                    <w:tr2bl w:val="nil"/>
                  </w:tcBorders>
                  <w:noWrap w:val="0"/>
                  <w:vAlign w:val="center"/>
                </w:tcPr>
                <w:p w14:paraId="30C2FC9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厂区围墙</w:t>
                  </w:r>
                </w:p>
              </w:tc>
              <w:tc>
                <w:tcPr>
                  <w:tcW w:w="1004" w:type="dxa"/>
                  <w:tcBorders>
                    <w:tl2br w:val="nil"/>
                    <w:tr2bl w:val="nil"/>
                  </w:tcBorders>
                  <w:noWrap w:val="0"/>
                  <w:vAlign w:val="center"/>
                </w:tcPr>
                <w:p w14:paraId="79A7C27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11.00</w:t>
                  </w:r>
                </w:p>
              </w:tc>
              <w:tc>
                <w:tcPr>
                  <w:tcW w:w="923" w:type="dxa"/>
                  <w:tcBorders>
                    <w:tl2br w:val="nil"/>
                    <w:tr2bl w:val="nil"/>
                  </w:tcBorders>
                  <w:noWrap w:val="0"/>
                  <w:vAlign w:val="center"/>
                </w:tcPr>
                <w:p w14:paraId="2F6E6532">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953" w:type="dxa"/>
                  <w:tcBorders>
                    <w:tl2br w:val="nil"/>
                    <w:tr2bl w:val="nil"/>
                  </w:tcBorders>
                  <w:noWrap w:val="0"/>
                  <w:vAlign w:val="center"/>
                </w:tcPr>
                <w:p w14:paraId="7FAAA8C0">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《液化石油气供应工程设计规范》第5.2.10条</w:t>
                  </w:r>
                  <w:r>
                    <w:rPr>
                      <w:rFonts w:hint="eastAsia" w:ascii="Times New Roman" w:hAnsi="Times New Roman" w:eastAsia="宋体" w:cs="Times New Roman"/>
                      <w:b w:val="0"/>
                      <w:bCs w:val="0"/>
                      <w:color w:val="auto"/>
                      <w:lang w:val="en-US" w:eastAsia="zh-CN"/>
                    </w:rPr>
                    <w:t>注2</w:t>
                  </w:r>
                </w:p>
              </w:tc>
              <w:tc>
                <w:tcPr>
                  <w:tcW w:w="803" w:type="dxa"/>
                  <w:tcBorders>
                    <w:tl2br w:val="nil"/>
                    <w:tr2bl w:val="nil"/>
                  </w:tcBorders>
                  <w:noWrap w:val="0"/>
                  <w:vAlign w:val="center"/>
                </w:tcPr>
                <w:p w14:paraId="1E99C17C">
                  <w:pPr>
                    <w:pStyle w:val="24"/>
                    <w:bidi w:val="0"/>
                    <w:jc w:val="center"/>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符合</w:t>
                  </w:r>
                </w:p>
              </w:tc>
            </w:tr>
          </w:tbl>
          <w:p w14:paraId="18773F8B">
            <w:pPr>
              <w:pStyle w:val="51"/>
              <w:ind w:firstLine="482"/>
              <w:rPr>
                <w:rFonts w:hint="eastAsia" w:ascii="Times New Roman" w:hAnsi="Times New Roman" w:eastAsia="宋体"/>
                <w:b w:val="0"/>
                <w:bCs/>
                <w:color w:val="auto"/>
                <w:lang w:val="en-US" w:eastAsia="zh-CN"/>
              </w:rPr>
            </w:pPr>
            <w:r>
              <w:rPr>
                <w:rFonts w:hint="eastAsia" w:ascii="Times New Roman" w:hAnsi="Times New Roman" w:eastAsia="宋体"/>
                <w:b w:val="0"/>
                <w:bCs/>
                <w:color w:val="auto"/>
                <w:lang w:val="en-US" w:eastAsia="zh-CN"/>
              </w:rPr>
              <w:t>综上所述，本项目</w:t>
            </w:r>
            <w:r>
              <w:rPr>
                <w:rFonts w:hint="eastAsia"/>
                <w:b w:val="0"/>
                <w:bCs/>
                <w:color w:val="auto"/>
                <w:lang w:val="en-US" w:eastAsia="zh-CN"/>
              </w:rPr>
              <w:t>平面布置</w:t>
            </w:r>
            <w:r>
              <w:rPr>
                <w:rFonts w:hint="eastAsia" w:ascii="Times New Roman" w:hAnsi="Times New Roman" w:eastAsia="宋体"/>
                <w:b w:val="0"/>
                <w:bCs/>
                <w:color w:val="auto"/>
                <w:lang w:val="en-US" w:eastAsia="zh-CN"/>
              </w:rPr>
              <w:t>合理。</w:t>
            </w:r>
          </w:p>
          <w:p w14:paraId="62DACC22">
            <w:pPr>
              <w:pStyle w:val="23"/>
              <w:keepNext w:val="0"/>
              <w:keepLines w:val="0"/>
              <w:pageBreakBefore w:val="0"/>
              <w:numPr>
                <w:ilvl w:val="0"/>
                <w:numId w:val="1"/>
              </w:numPr>
              <w:kinsoku/>
              <w:wordWrap/>
              <w:overflowPunct/>
              <w:topLinePunct w:val="0"/>
              <w:bidi w:val="0"/>
              <w:adjustRightInd w:val="0"/>
              <w:snapToGrid w:val="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项目总投资与环保投资</w:t>
            </w:r>
          </w:p>
          <w:p w14:paraId="4BDA1AE2">
            <w:pPr>
              <w:adjustRightInd w:val="0"/>
              <w:snapToGrid w:val="0"/>
              <w:spacing w:line="360" w:lineRule="auto"/>
              <w:ind w:firstLine="480" w:firstLineChars="200"/>
              <w:jc w:val="both"/>
              <w:rPr>
                <w:color w:val="auto"/>
                <w:sz w:val="24"/>
              </w:rPr>
            </w:pPr>
            <w:r>
              <w:rPr>
                <w:color w:val="auto"/>
                <w:sz w:val="24"/>
              </w:rPr>
              <w:t>本项目的总投资为</w:t>
            </w:r>
            <w:r>
              <w:rPr>
                <w:rFonts w:hint="eastAsia"/>
                <w:color w:val="auto"/>
                <w:sz w:val="24"/>
                <w:lang w:val="en-US" w:eastAsia="zh-CN"/>
              </w:rPr>
              <w:t>1400</w:t>
            </w:r>
            <w:r>
              <w:rPr>
                <w:color w:val="auto"/>
                <w:sz w:val="24"/>
              </w:rPr>
              <w:t>万元</w:t>
            </w:r>
            <w:r>
              <w:rPr>
                <w:rFonts w:hint="default" w:cs="Times New Roman"/>
                <w:color w:val="auto"/>
                <w:sz w:val="24"/>
                <w:szCs w:val="24"/>
                <w:lang w:val="en-US" w:eastAsia="zh-CN"/>
              </w:rPr>
              <w:t>，环保投资占总投资的</w:t>
            </w:r>
            <w:r>
              <w:rPr>
                <w:rFonts w:hint="eastAsia" w:cs="Times New Roman"/>
                <w:color w:val="auto"/>
                <w:sz w:val="24"/>
                <w:szCs w:val="24"/>
                <w:lang w:val="en-US" w:eastAsia="zh-CN"/>
              </w:rPr>
              <w:t>3.1</w:t>
            </w:r>
            <w:r>
              <w:rPr>
                <w:rFonts w:hint="default" w:cs="Times New Roman"/>
                <w:color w:val="auto"/>
                <w:sz w:val="24"/>
                <w:szCs w:val="24"/>
                <w:lang w:val="en-US" w:eastAsia="zh-CN"/>
              </w:rPr>
              <w:t>%</w:t>
            </w:r>
            <w:r>
              <w:rPr>
                <w:rFonts w:hint="eastAsia" w:cs="Times New Roman"/>
                <w:color w:val="auto"/>
                <w:sz w:val="24"/>
                <w:szCs w:val="24"/>
                <w:lang w:val="en-US" w:eastAsia="zh-CN"/>
              </w:rPr>
              <w:t>。</w:t>
            </w:r>
            <w:r>
              <w:rPr>
                <w:color w:val="auto"/>
                <w:sz w:val="24"/>
              </w:rPr>
              <w:t>环保投资情况见表2-</w:t>
            </w:r>
            <w:r>
              <w:rPr>
                <w:rFonts w:hint="eastAsia"/>
                <w:color w:val="auto"/>
                <w:sz w:val="24"/>
                <w:lang w:val="en-US" w:eastAsia="zh-CN"/>
              </w:rPr>
              <w:t>9</w:t>
            </w:r>
            <w:r>
              <w:rPr>
                <w:color w:val="auto"/>
                <w:sz w:val="24"/>
              </w:rPr>
              <w:t>。</w:t>
            </w:r>
          </w:p>
          <w:p w14:paraId="5BBBD7AA">
            <w:pPr>
              <w:pStyle w:val="25"/>
              <w:bidi w:val="0"/>
              <w:rPr>
                <w:rFonts w:hint="eastAsia" w:eastAsia="楷体"/>
                <w:color w:val="auto"/>
                <w:lang w:eastAsia="zh-CN"/>
              </w:rPr>
            </w:pPr>
            <w:r>
              <w:rPr>
                <w:rFonts w:hint="default"/>
                <w:color w:val="auto"/>
              </w:rPr>
              <w:t>表2-</w:t>
            </w:r>
            <w:r>
              <w:rPr>
                <w:rFonts w:hint="eastAsia"/>
                <w:color w:val="auto"/>
                <w:lang w:val="en-US" w:eastAsia="zh-CN"/>
              </w:rPr>
              <w:t>9</w:t>
            </w:r>
            <w:r>
              <w:rPr>
                <w:rFonts w:hint="default"/>
                <w:color w:val="auto"/>
              </w:rPr>
              <w:t xml:space="preserve">    </w:t>
            </w:r>
            <w:r>
              <w:rPr>
                <w:rFonts w:hint="eastAsia"/>
                <w:color w:val="auto"/>
                <w:lang w:val="en-US" w:eastAsia="zh-CN"/>
              </w:rPr>
              <w:t xml:space="preserve">                    </w:t>
            </w:r>
            <w:r>
              <w:rPr>
                <w:rFonts w:hint="default"/>
                <w:color w:val="auto"/>
              </w:rPr>
              <w:t>环保投资</w:t>
            </w:r>
            <w:r>
              <w:rPr>
                <w:rFonts w:hint="eastAsia"/>
                <w:color w:val="auto"/>
                <w:lang w:val="en-US" w:eastAsia="zh-CN"/>
              </w:rPr>
              <w:t>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612"/>
              <w:gridCol w:w="4119"/>
              <w:gridCol w:w="1183"/>
              <w:gridCol w:w="990"/>
            </w:tblGrid>
            <w:tr w14:paraId="26207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tcBorders>
                    <w:tl2br w:val="nil"/>
                    <w:tr2bl w:val="nil"/>
                  </w:tcBorders>
                  <w:noWrap w:val="0"/>
                  <w:vAlign w:val="center"/>
                </w:tcPr>
                <w:p w14:paraId="5ACD0014">
                  <w:pPr>
                    <w:pStyle w:val="24"/>
                    <w:bidi w:val="0"/>
                    <w:jc w:val="center"/>
                    <w:rPr>
                      <w:color w:val="auto"/>
                    </w:rPr>
                  </w:pPr>
                  <w:r>
                    <w:rPr>
                      <w:color w:val="auto"/>
                    </w:rPr>
                    <w:t>阶段</w:t>
                  </w:r>
                </w:p>
              </w:tc>
              <w:tc>
                <w:tcPr>
                  <w:tcW w:w="1612" w:type="dxa"/>
                  <w:tcBorders>
                    <w:tl2br w:val="nil"/>
                    <w:tr2bl w:val="nil"/>
                  </w:tcBorders>
                  <w:noWrap w:val="0"/>
                  <w:vAlign w:val="center"/>
                </w:tcPr>
                <w:p w14:paraId="5EFF9ED8">
                  <w:pPr>
                    <w:pStyle w:val="24"/>
                    <w:bidi w:val="0"/>
                    <w:jc w:val="center"/>
                    <w:rPr>
                      <w:color w:val="auto"/>
                    </w:rPr>
                  </w:pPr>
                  <w:r>
                    <w:rPr>
                      <w:color w:val="auto"/>
                    </w:rPr>
                    <w:t>工程项目</w:t>
                  </w:r>
                </w:p>
              </w:tc>
              <w:tc>
                <w:tcPr>
                  <w:tcW w:w="4119" w:type="dxa"/>
                  <w:tcBorders>
                    <w:tl2br w:val="nil"/>
                    <w:tr2bl w:val="nil"/>
                  </w:tcBorders>
                  <w:noWrap w:val="0"/>
                  <w:vAlign w:val="center"/>
                </w:tcPr>
                <w:p w14:paraId="03392899">
                  <w:pPr>
                    <w:pStyle w:val="24"/>
                    <w:bidi w:val="0"/>
                    <w:jc w:val="center"/>
                    <w:rPr>
                      <w:rFonts w:hint="eastAsia"/>
                      <w:color w:val="auto"/>
                      <w:lang w:eastAsia="zh-CN"/>
                    </w:rPr>
                  </w:pPr>
                  <w:r>
                    <w:rPr>
                      <w:rFonts w:hint="eastAsia"/>
                      <w:color w:val="auto"/>
                      <w:lang w:eastAsia="zh-CN"/>
                    </w:rPr>
                    <w:t>环保设施</w:t>
                  </w:r>
                </w:p>
              </w:tc>
              <w:tc>
                <w:tcPr>
                  <w:tcW w:w="1183" w:type="dxa"/>
                  <w:tcBorders>
                    <w:tl2br w:val="nil"/>
                    <w:tr2bl w:val="nil"/>
                  </w:tcBorders>
                  <w:noWrap w:val="0"/>
                  <w:tcMar>
                    <w:left w:w="0" w:type="dxa"/>
                    <w:right w:w="0" w:type="dxa"/>
                  </w:tcMar>
                  <w:vAlign w:val="center"/>
                </w:tcPr>
                <w:p w14:paraId="23776C1A">
                  <w:pPr>
                    <w:pStyle w:val="24"/>
                    <w:bidi w:val="0"/>
                    <w:jc w:val="center"/>
                    <w:rPr>
                      <w:color w:val="auto"/>
                    </w:rPr>
                  </w:pPr>
                  <w:r>
                    <w:rPr>
                      <w:color w:val="auto"/>
                    </w:rPr>
                    <w:t>投资(万元)</w:t>
                  </w:r>
                </w:p>
              </w:tc>
              <w:tc>
                <w:tcPr>
                  <w:tcW w:w="990" w:type="dxa"/>
                  <w:tcBorders>
                    <w:tl2br w:val="nil"/>
                    <w:tr2bl w:val="nil"/>
                  </w:tcBorders>
                  <w:noWrap w:val="0"/>
                  <w:vAlign w:val="center"/>
                </w:tcPr>
                <w:p w14:paraId="18770849">
                  <w:pPr>
                    <w:pStyle w:val="24"/>
                    <w:bidi w:val="0"/>
                    <w:jc w:val="center"/>
                    <w:rPr>
                      <w:rFonts w:hint="eastAsia"/>
                      <w:color w:val="auto"/>
                      <w:lang w:eastAsia="zh-CN"/>
                    </w:rPr>
                  </w:pPr>
                  <w:r>
                    <w:rPr>
                      <w:rFonts w:hint="eastAsia"/>
                      <w:color w:val="auto"/>
                      <w:lang w:eastAsia="zh-CN"/>
                    </w:rPr>
                    <w:t>比例（</w:t>
                  </w:r>
                  <w:r>
                    <w:rPr>
                      <w:rFonts w:hint="eastAsia"/>
                      <w:color w:val="auto"/>
                      <w:lang w:val="en-US" w:eastAsia="zh-CN"/>
                    </w:rPr>
                    <w:t>%</w:t>
                  </w:r>
                  <w:r>
                    <w:rPr>
                      <w:rFonts w:hint="eastAsia"/>
                      <w:color w:val="auto"/>
                      <w:lang w:eastAsia="zh-CN"/>
                    </w:rPr>
                    <w:t>）</w:t>
                  </w:r>
                </w:p>
              </w:tc>
            </w:tr>
            <w:tr w14:paraId="76873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tcBorders>
                    <w:tl2br w:val="nil"/>
                    <w:tr2bl w:val="nil"/>
                  </w:tcBorders>
                  <w:noWrap w:val="0"/>
                  <w:vAlign w:val="center"/>
                </w:tcPr>
                <w:p w14:paraId="1124A108">
                  <w:pPr>
                    <w:pStyle w:val="24"/>
                    <w:bidi w:val="0"/>
                    <w:jc w:val="center"/>
                    <w:rPr>
                      <w:color w:val="auto"/>
                    </w:rPr>
                  </w:pPr>
                  <w:r>
                    <w:rPr>
                      <w:color w:val="auto"/>
                    </w:rPr>
                    <w:t>施工</w:t>
                  </w:r>
                </w:p>
                <w:p w14:paraId="143B5825">
                  <w:pPr>
                    <w:pStyle w:val="24"/>
                    <w:bidi w:val="0"/>
                    <w:jc w:val="center"/>
                    <w:rPr>
                      <w:color w:val="auto"/>
                    </w:rPr>
                  </w:pPr>
                  <w:r>
                    <w:rPr>
                      <w:color w:val="auto"/>
                    </w:rPr>
                    <w:t>期</w:t>
                  </w:r>
                </w:p>
              </w:tc>
              <w:tc>
                <w:tcPr>
                  <w:tcW w:w="1612" w:type="dxa"/>
                  <w:tcBorders>
                    <w:tl2br w:val="nil"/>
                    <w:tr2bl w:val="nil"/>
                  </w:tcBorders>
                  <w:noWrap w:val="0"/>
                  <w:vAlign w:val="center"/>
                </w:tcPr>
                <w:p w14:paraId="63655AAA">
                  <w:pPr>
                    <w:pStyle w:val="24"/>
                    <w:bidi w:val="0"/>
                    <w:jc w:val="center"/>
                    <w:rPr>
                      <w:color w:val="auto"/>
                    </w:rPr>
                  </w:pPr>
                  <w:r>
                    <w:rPr>
                      <w:color w:val="auto"/>
                    </w:rPr>
                    <w:t>废气</w:t>
                  </w:r>
                </w:p>
              </w:tc>
              <w:tc>
                <w:tcPr>
                  <w:tcW w:w="4119" w:type="dxa"/>
                  <w:tcBorders>
                    <w:tl2br w:val="nil"/>
                    <w:tr2bl w:val="nil"/>
                  </w:tcBorders>
                  <w:noWrap w:val="0"/>
                  <w:vAlign w:val="center"/>
                </w:tcPr>
                <w:p w14:paraId="7C6A7376">
                  <w:pPr>
                    <w:pStyle w:val="24"/>
                    <w:bidi w:val="0"/>
                    <w:jc w:val="center"/>
                    <w:rPr>
                      <w:color w:val="auto"/>
                    </w:rPr>
                  </w:pPr>
                  <w:r>
                    <w:rPr>
                      <w:rFonts w:hint="eastAsia"/>
                      <w:color w:val="auto"/>
                      <w:lang w:val="en-US" w:eastAsia="zh-CN"/>
                    </w:rPr>
                    <w:t>洒水抑尘，及时运送弃土、冲洗车辆、及时清扫施工场地</w:t>
                  </w:r>
                </w:p>
              </w:tc>
              <w:tc>
                <w:tcPr>
                  <w:tcW w:w="1183" w:type="dxa"/>
                  <w:tcBorders>
                    <w:tl2br w:val="nil"/>
                    <w:tr2bl w:val="nil"/>
                  </w:tcBorders>
                  <w:noWrap w:val="0"/>
                  <w:tcMar>
                    <w:left w:w="0" w:type="dxa"/>
                    <w:right w:w="0" w:type="dxa"/>
                  </w:tcMar>
                  <w:vAlign w:val="center"/>
                </w:tcPr>
                <w:p w14:paraId="148B1D84">
                  <w:pPr>
                    <w:pStyle w:val="24"/>
                    <w:bidi w:val="0"/>
                    <w:jc w:val="center"/>
                    <w:rPr>
                      <w:rFonts w:hint="default"/>
                      <w:color w:val="auto"/>
                      <w:lang w:val="en-US"/>
                    </w:rPr>
                  </w:pPr>
                  <w:r>
                    <w:rPr>
                      <w:rFonts w:hint="eastAsia"/>
                      <w:color w:val="auto"/>
                      <w:lang w:val="en-US" w:eastAsia="zh-CN"/>
                    </w:rPr>
                    <w:t>10</w:t>
                  </w:r>
                </w:p>
              </w:tc>
              <w:tc>
                <w:tcPr>
                  <w:tcW w:w="990" w:type="dxa"/>
                  <w:tcBorders>
                    <w:tl2br w:val="nil"/>
                    <w:tr2bl w:val="nil"/>
                  </w:tcBorders>
                  <w:noWrap w:val="0"/>
                  <w:vAlign w:val="center"/>
                </w:tcPr>
                <w:p w14:paraId="02854078">
                  <w:pPr>
                    <w:pStyle w:val="24"/>
                    <w:bidi w:val="0"/>
                    <w:jc w:val="center"/>
                    <w:rPr>
                      <w:rFonts w:hint="eastAsia"/>
                      <w:color w:val="auto"/>
                      <w:lang w:val="en-US" w:eastAsia="zh-CN"/>
                    </w:rPr>
                  </w:pPr>
                  <w:r>
                    <w:rPr>
                      <w:rFonts w:hint="eastAsia"/>
                      <w:color w:val="auto"/>
                      <w:lang w:val="en-US" w:eastAsia="zh-CN"/>
                    </w:rPr>
                    <w:t>22.7%</w:t>
                  </w:r>
                </w:p>
              </w:tc>
            </w:tr>
            <w:tr w14:paraId="36669B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6BC1905F">
                  <w:pPr>
                    <w:pStyle w:val="24"/>
                    <w:bidi w:val="0"/>
                    <w:jc w:val="center"/>
                    <w:rPr>
                      <w:color w:val="auto"/>
                    </w:rPr>
                  </w:pPr>
                </w:p>
              </w:tc>
              <w:tc>
                <w:tcPr>
                  <w:tcW w:w="1612" w:type="dxa"/>
                  <w:tcBorders>
                    <w:tl2br w:val="nil"/>
                    <w:tr2bl w:val="nil"/>
                  </w:tcBorders>
                  <w:noWrap w:val="0"/>
                  <w:vAlign w:val="center"/>
                </w:tcPr>
                <w:p w14:paraId="2211262B">
                  <w:pPr>
                    <w:pStyle w:val="24"/>
                    <w:bidi w:val="0"/>
                    <w:jc w:val="center"/>
                    <w:rPr>
                      <w:rFonts w:hint="default"/>
                      <w:color w:val="auto"/>
                      <w:lang w:val="en-US" w:eastAsia="zh-CN"/>
                    </w:rPr>
                  </w:pPr>
                  <w:r>
                    <w:rPr>
                      <w:rFonts w:hint="eastAsia"/>
                      <w:color w:val="auto"/>
                      <w:lang w:val="en-US" w:eastAsia="zh-CN"/>
                    </w:rPr>
                    <w:t>废水</w:t>
                  </w:r>
                </w:p>
              </w:tc>
              <w:tc>
                <w:tcPr>
                  <w:tcW w:w="4119" w:type="dxa"/>
                  <w:tcBorders>
                    <w:tl2br w:val="nil"/>
                    <w:tr2bl w:val="nil"/>
                  </w:tcBorders>
                  <w:noWrap w:val="0"/>
                  <w:vAlign w:val="center"/>
                </w:tcPr>
                <w:p w14:paraId="7A81F2F4">
                  <w:pPr>
                    <w:pStyle w:val="24"/>
                    <w:bidi w:val="0"/>
                    <w:jc w:val="center"/>
                    <w:rPr>
                      <w:rFonts w:hint="eastAsia"/>
                      <w:color w:val="auto"/>
                      <w:lang w:val="en-US" w:eastAsia="zh-CN"/>
                    </w:rPr>
                  </w:pPr>
                  <w:r>
                    <w:rPr>
                      <w:rFonts w:hint="eastAsia"/>
                      <w:color w:val="auto"/>
                      <w:lang w:val="en-US" w:eastAsia="zh-CN"/>
                    </w:rPr>
                    <w:t>设置1座5m</w:t>
                  </w:r>
                  <w:r>
                    <w:rPr>
                      <w:rFonts w:hint="eastAsia"/>
                      <w:color w:val="auto"/>
                      <w:vertAlign w:val="superscript"/>
                      <w:lang w:val="en-US" w:eastAsia="zh-CN"/>
                    </w:rPr>
                    <w:t>3</w:t>
                  </w:r>
                  <w:r>
                    <w:rPr>
                      <w:rFonts w:hint="eastAsia"/>
                      <w:color w:val="auto"/>
                      <w:lang w:val="en-US" w:eastAsia="zh-CN"/>
                    </w:rPr>
                    <w:t>简易沉淀池；生活污水依托园区已有的公共设施进行收集处理</w:t>
                  </w:r>
                </w:p>
              </w:tc>
              <w:tc>
                <w:tcPr>
                  <w:tcW w:w="1183" w:type="dxa"/>
                  <w:tcBorders>
                    <w:tl2br w:val="nil"/>
                    <w:tr2bl w:val="nil"/>
                  </w:tcBorders>
                  <w:noWrap w:val="0"/>
                  <w:tcMar>
                    <w:left w:w="0" w:type="dxa"/>
                    <w:right w:w="0" w:type="dxa"/>
                  </w:tcMar>
                  <w:vAlign w:val="center"/>
                </w:tcPr>
                <w:p w14:paraId="5385B643">
                  <w:pPr>
                    <w:pStyle w:val="24"/>
                    <w:bidi w:val="0"/>
                    <w:jc w:val="center"/>
                    <w:rPr>
                      <w:rFonts w:hint="default"/>
                      <w:color w:val="auto"/>
                      <w:lang w:val="en-US" w:eastAsia="zh-CN"/>
                    </w:rPr>
                  </w:pPr>
                  <w:r>
                    <w:rPr>
                      <w:rFonts w:hint="eastAsia"/>
                      <w:color w:val="auto"/>
                      <w:lang w:val="en-US" w:eastAsia="zh-CN"/>
                    </w:rPr>
                    <w:t>2</w:t>
                  </w:r>
                </w:p>
              </w:tc>
              <w:tc>
                <w:tcPr>
                  <w:tcW w:w="990" w:type="dxa"/>
                  <w:tcBorders>
                    <w:tl2br w:val="nil"/>
                    <w:tr2bl w:val="nil"/>
                  </w:tcBorders>
                  <w:noWrap w:val="0"/>
                  <w:vAlign w:val="center"/>
                </w:tcPr>
                <w:p w14:paraId="7B601476">
                  <w:pPr>
                    <w:pStyle w:val="24"/>
                    <w:bidi w:val="0"/>
                    <w:jc w:val="center"/>
                    <w:rPr>
                      <w:rFonts w:hint="default"/>
                      <w:color w:val="auto"/>
                      <w:lang w:val="en-US" w:eastAsia="zh-CN"/>
                    </w:rPr>
                  </w:pPr>
                  <w:r>
                    <w:rPr>
                      <w:rFonts w:hint="eastAsia"/>
                      <w:color w:val="auto"/>
                      <w:lang w:val="en-US" w:eastAsia="zh-CN"/>
                    </w:rPr>
                    <w:t>4.5%</w:t>
                  </w:r>
                </w:p>
              </w:tc>
            </w:tr>
            <w:tr w14:paraId="67627A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781C524B">
                  <w:pPr>
                    <w:pStyle w:val="24"/>
                    <w:bidi w:val="0"/>
                    <w:jc w:val="center"/>
                    <w:rPr>
                      <w:color w:val="auto"/>
                    </w:rPr>
                  </w:pPr>
                </w:p>
              </w:tc>
              <w:tc>
                <w:tcPr>
                  <w:tcW w:w="1612" w:type="dxa"/>
                  <w:tcBorders>
                    <w:tl2br w:val="nil"/>
                    <w:tr2bl w:val="nil"/>
                  </w:tcBorders>
                  <w:noWrap w:val="0"/>
                  <w:vAlign w:val="center"/>
                </w:tcPr>
                <w:p w14:paraId="5D14FE37">
                  <w:pPr>
                    <w:pStyle w:val="24"/>
                    <w:bidi w:val="0"/>
                    <w:jc w:val="center"/>
                    <w:rPr>
                      <w:rFonts w:hint="eastAsia"/>
                      <w:color w:val="auto"/>
                      <w:lang w:eastAsia="zh-CN"/>
                    </w:rPr>
                  </w:pPr>
                  <w:r>
                    <w:rPr>
                      <w:rFonts w:hint="eastAsia"/>
                      <w:color w:val="auto"/>
                      <w:lang w:eastAsia="zh-CN"/>
                    </w:rPr>
                    <w:t>固废</w:t>
                  </w:r>
                </w:p>
              </w:tc>
              <w:tc>
                <w:tcPr>
                  <w:tcW w:w="4119" w:type="dxa"/>
                  <w:tcBorders>
                    <w:tl2br w:val="nil"/>
                    <w:tr2bl w:val="nil"/>
                  </w:tcBorders>
                  <w:noWrap w:val="0"/>
                  <w:vAlign w:val="center"/>
                </w:tcPr>
                <w:p w14:paraId="2762062F">
                  <w:pPr>
                    <w:pStyle w:val="24"/>
                    <w:bidi w:val="0"/>
                    <w:jc w:val="center"/>
                    <w:rPr>
                      <w:rFonts w:hint="eastAsia"/>
                      <w:color w:val="auto"/>
                      <w:lang w:eastAsia="zh-CN"/>
                    </w:rPr>
                  </w:pPr>
                  <w:r>
                    <w:rPr>
                      <w:rFonts w:hint="eastAsia"/>
                      <w:color w:val="auto"/>
                      <w:lang w:val="en-US" w:eastAsia="zh-CN"/>
                    </w:rPr>
                    <w:t>建筑垃圾集中收集，定期清运至拉运至政府指定地点；生活垃圾集中收集定期清运至垃圾中转站，由环卫部门统一处理</w:t>
                  </w:r>
                </w:p>
              </w:tc>
              <w:tc>
                <w:tcPr>
                  <w:tcW w:w="1183" w:type="dxa"/>
                  <w:tcBorders>
                    <w:tl2br w:val="nil"/>
                    <w:tr2bl w:val="nil"/>
                  </w:tcBorders>
                  <w:noWrap w:val="0"/>
                  <w:tcMar>
                    <w:left w:w="0" w:type="dxa"/>
                    <w:right w:w="0" w:type="dxa"/>
                  </w:tcMar>
                  <w:vAlign w:val="center"/>
                </w:tcPr>
                <w:p w14:paraId="083175AE">
                  <w:pPr>
                    <w:pStyle w:val="24"/>
                    <w:bidi w:val="0"/>
                    <w:jc w:val="center"/>
                    <w:rPr>
                      <w:rFonts w:hint="default"/>
                      <w:color w:val="auto"/>
                      <w:lang w:val="en-US" w:eastAsia="zh-CN"/>
                    </w:rPr>
                  </w:pPr>
                  <w:r>
                    <w:rPr>
                      <w:rFonts w:hint="eastAsia"/>
                      <w:color w:val="auto"/>
                      <w:lang w:val="en-US" w:eastAsia="zh-CN"/>
                    </w:rPr>
                    <w:t>3</w:t>
                  </w:r>
                </w:p>
              </w:tc>
              <w:tc>
                <w:tcPr>
                  <w:tcW w:w="990" w:type="dxa"/>
                  <w:tcBorders>
                    <w:tl2br w:val="nil"/>
                    <w:tr2bl w:val="nil"/>
                  </w:tcBorders>
                  <w:noWrap w:val="0"/>
                  <w:vAlign w:val="center"/>
                </w:tcPr>
                <w:p w14:paraId="088011D7">
                  <w:pPr>
                    <w:pStyle w:val="24"/>
                    <w:bidi w:val="0"/>
                    <w:jc w:val="center"/>
                    <w:rPr>
                      <w:rFonts w:hint="eastAsia"/>
                      <w:color w:val="auto"/>
                      <w:lang w:val="en-US" w:eastAsia="zh-CN"/>
                    </w:rPr>
                  </w:pPr>
                  <w:r>
                    <w:rPr>
                      <w:rFonts w:hint="eastAsia"/>
                      <w:color w:val="auto"/>
                      <w:lang w:val="en-US" w:eastAsia="zh-CN"/>
                    </w:rPr>
                    <w:t>6.9%</w:t>
                  </w:r>
                </w:p>
              </w:tc>
            </w:tr>
            <w:tr w14:paraId="16A4C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3A9E0113">
                  <w:pPr>
                    <w:pStyle w:val="24"/>
                    <w:bidi w:val="0"/>
                    <w:jc w:val="center"/>
                    <w:rPr>
                      <w:color w:val="auto"/>
                    </w:rPr>
                  </w:pPr>
                </w:p>
              </w:tc>
              <w:tc>
                <w:tcPr>
                  <w:tcW w:w="1612" w:type="dxa"/>
                  <w:tcBorders>
                    <w:tl2br w:val="nil"/>
                    <w:tr2bl w:val="nil"/>
                  </w:tcBorders>
                  <w:noWrap w:val="0"/>
                  <w:vAlign w:val="center"/>
                </w:tcPr>
                <w:p w14:paraId="698533C1">
                  <w:pPr>
                    <w:pStyle w:val="24"/>
                    <w:bidi w:val="0"/>
                    <w:jc w:val="center"/>
                    <w:rPr>
                      <w:color w:val="auto"/>
                    </w:rPr>
                  </w:pPr>
                  <w:r>
                    <w:rPr>
                      <w:color w:val="auto"/>
                    </w:rPr>
                    <w:t>噪声</w:t>
                  </w:r>
                </w:p>
              </w:tc>
              <w:tc>
                <w:tcPr>
                  <w:tcW w:w="4119" w:type="dxa"/>
                  <w:tcBorders>
                    <w:tl2br w:val="nil"/>
                    <w:tr2bl w:val="nil"/>
                  </w:tcBorders>
                  <w:noWrap w:val="0"/>
                  <w:vAlign w:val="center"/>
                </w:tcPr>
                <w:p w14:paraId="0DA0A7FB">
                  <w:pPr>
                    <w:pStyle w:val="24"/>
                    <w:bidi w:val="0"/>
                    <w:jc w:val="center"/>
                    <w:rPr>
                      <w:rFonts w:hint="eastAsia"/>
                      <w:color w:val="auto"/>
                      <w:lang w:eastAsia="zh-CN"/>
                    </w:rPr>
                  </w:pPr>
                  <w:r>
                    <w:rPr>
                      <w:rFonts w:hint="eastAsia"/>
                      <w:color w:val="auto"/>
                    </w:rPr>
                    <w:t>采用较先进、噪声值较低的设备或带隔声、消声的设备，加强对施工设备的维修保养</w:t>
                  </w:r>
                </w:p>
              </w:tc>
              <w:tc>
                <w:tcPr>
                  <w:tcW w:w="1183" w:type="dxa"/>
                  <w:tcBorders>
                    <w:tl2br w:val="nil"/>
                    <w:tr2bl w:val="nil"/>
                  </w:tcBorders>
                  <w:noWrap w:val="0"/>
                  <w:tcMar>
                    <w:left w:w="0" w:type="dxa"/>
                    <w:right w:w="0" w:type="dxa"/>
                  </w:tcMar>
                  <w:vAlign w:val="center"/>
                </w:tcPr>
                <w:p w14:paraId="55695CF0">
                  <w:pPr>
                    <w:pStyle w:val="24"/>
                    <w:bidi w:val="0"/>
                    <w:jc w:val="center"/>
                    <w:rPr>
                      <w:rFonts w:hint="default"/>
                      <w:color w:val="auto"/>
                      <w:lang w:val="en-US" w:eastAsia="zh-CN"/>
                    </w:rPr>
                  </w:pPr>
                  <w:r>
                    <w:rPr>
                      <w:rFonts w:hint="eastAsia"/>
                      <w:color w:val="auto"/>
                      <w:lang w:val="en-US" w:eastAsia="zh-CN"/>
                    </w:rPr>
                    <w:t>5</w:t>
                  </w:r>
                </w:p>
              </w:tc>
              <w:tc>
                <w:tcPr>
                  <w:tcW w:w="990" w:type="dxa"/>
                  <w:tcBorders>
                    <w:tl2br w:val="nil"/>
                    <w:tr2bl w:val="nil"/>
                  </w:tcBorders>
                  <w:noWrap w:val="0"/>
                  <w:vAlign w:val="center"/>
                </w:tcPr>
                <w:p w14:paraId="04BC605B">
                  <w:pPr>
                    <w:pStyle w:val="24"/>
                    <w:bidi w:val="0"/>
                    <w:jc w:val="center"/>
                    <w:rPr>
                      <w:rFonts w:hint="eastAsia"/>
                      <w:color w:val="auto"/>
                      <w:lang w:val="en-US" w:eastAsia="zh-CN"/>
                    </w:rPr>
                  </w:pPr>
                  <w:r>
                    <w:rPr>
                      <w:rFonts w:hint="eastAsia"/>
                      <w:color w:val="auto"/>
                      <w:lang w:val="en-US" w:eastAsia="zh-CN"/>
                    </w:rPr>
                    <w:t>11.4%</w:t>
                  </w:r>
                </w:p>
              </w:tc>
            </w:tr>
            <w:tr w14:paraId="2B98E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restart"/>
                  <w:tcBorders>
                    <w:tl2br w:val="nil"/>
                    <w:tr2bl w:val="nil"/>
                  </w:tcBorders>
                  <w:noWrap w:val="0"/>
                  <w:vAlign w:val="center"/>
                </w:tcPr>
                <w:p w14:paraId="1A20E854">
                  <w:pPr>
                    <w:pStyle w:val="24"/>
                    <w:bidi w:val="0"/>
                    <w:jc w:val="center"/>
                    <w:rPr>
                      <w:rFonts w:hint="eastAsia"/>
                      <w:color w:val="auto"/>
                      <w:lang w:eastAsia="zh-CN"/>
                    </w:rPr>
                  </w:pPr>
                  <w:bookmarkStart w:id="2" w:name="OLE_LINK1" w:colFirst="4" w:colLast="4"/>
                  <w:bookmarkStart w:id="3" w:name="OLE_LINK4" w:colFirst="4" w:colLast="4"/>
                  <w:bookmarkStart w:id="4" w:name="OLE_LINK3" w:colFirst="3" w:colLast="3"/>
                  <w:bookmarkStart w:id="5" w:name="OLE_LINK5" w:colFirst="4" w:colLast="4"/>
                  <w:bookmarkStart w:id="6" w:name="_Hlk363568864"/>
                  <w:bookmarkStart w:id="7" w:name="OLE_LINK2" w:colFirst="4" w:colLast="4"/>
                  <w:r>
                    <w:rPr>
                      <w:rFonts w:hint="eastAsia"/>
                      <w:color w:val="auto"/>
                      <w:lang w:eastAsia="zh-CN"/>
                    </w:rPr>
                    <w:t>营运期</w:t>
                  </w:r>
                </w:p>
              </w:tc>
              <w:tc>
                <w:tcPr>
                  <w:tcW w:w="1612" w:type="dxa"/>
                  <w:tcBorders>
                    <w:tl2br w:val="nil"/>
                    <w:tr2bl w:val="nil"/>
                  </w:tcBorders>
                  <w:noWrap w:val="0"/>
                  <w:vAlign w:val="center"/>
                </w:tcPr>
                <w:p w14:paraId="35E7E8BA">
                  <w:pPr>
                    <w:pStyle w:val="24"/>
                    <w:bidi w:val="0"/>
                    <w:jc w:val="center"/>
                    <w:rPr>
                      <w:color w:val="auto"/>
                    </w:rPr>
                  </w:pPr>
                  <w:r>
                    <w:rPr>
                      <w:color w:val="auto"/>
                    </w:rPr>
                    <w:t>噪声治理措施</w:t>
                  </w:r>
                </w:p>
              </w:tc>
              <w:tc>
                <w:tcPr>
                  <w:tcW w:w="4119" w:type="dxa"/>
                  <w:tcBorders>
                    <w:tl2br w:val="nil"/>
                    <w:tr2bl w:val="nil"/>
                  </w:tcBorders>
                  <w:noWrap w:val="0"/>
                  <w:vAlign w:val="center"/>
                </w:tcPr>
                <w:p w14:paraId="62B0FDE8">
                  <w:pPr>
                    <w:pStyle w:val="24"/>
                    <w:bidi w:val="0"/>
                    <w:jc w:val="center"/>
                    <w:rPr>
                      <w:color w:val="auto"/>
                    </w:rPr>
                  </w:pPr>
                  <w:r>
                    <w:rPr>
                      <w:color w:val="auto"/>
                    </w:rPr>
                    <w:t>采用低噪声设备，隔声、减震设施</w:t>
                  </w:r>
                </w:p>
              </w:tc>
              <w:tc>
                <w:tcPr>
                  <w:tcW w:w="1183" w:type="dxa"/>
                  <w:tcBorders>
                    <w:tl2br w:val="nil"/>
                    <w:tr2bl w:val="nil"/>
                  </w:tcBorders>
                  <w:noWrap w:val="0"/>
                  <w:tcMar>
                    <w:left w:w="0" w:type="dxa"/>
                    <w:right w:w="0" w:type="dxa"/>
                  </w:tcMar>
                  <w:vAlign w:val="center"/>
                </w:tcPr>
                <w:p w14:paraId="123985AA">
                  <w:pPr>
                    <w:pStyle w:val="24"/>
                    <w:bidi w:val="0"/>
                    <w:jc w:val="center"/>
                    <w:rPr>
                      <w:rFonts w:hint="default"/>
                      <w:color w:val="auto"/>
                      <w:lang w:val="en-US" w:eastAsia="zh-CN"/>
                    </w:rPr>
                  </w:pPr>
                  <w:r>
                    <w:rPr>
                      <w:rFonts w:hint="eastAsia"/>
                      <w:color w:val="auto"/>
                      <w:lang w:val="en-US" w:eastAsia="zh-CN"/>
                    </w:rPr>
                    <w:t>3</w:t>
                  </w:r>
                </w:p>
              </w:tc>
              <w:tc>
                <w:tcPr>
                  <w:tcW w:w="990" w:type="dxa"/>
                  <w:tcBorders>
                    <w:tl2br w:val="nil"/>
                    <w:tr2bl w:val="nil"/>
                  </w:tcBorders>
                  <w:noWrap w:val="0"/>
                  <w:vAlign w:val="center"/>
                </w:tcPr>
                <w:p w14:paraId="367390E5">
                  <w:pPr>
                    <w:pStyle w:val="24"/>
                    <w:bidi w:val="0"/>
                    <w:jc w:val="center"/>
                    <w:rPr>
                      <w:rFonts w:hint="eastAsia"/>
                      <w:color w:val="auto"/>
                      <w:lang w:val="en-US" w:eastAsia="zh-CN"/>
                    </w:rPr>
                  </w:pPr>
                  <w:r>
                    <w:rPr>
                      <w:rFonts w:hint="eastAsia"/>
                      <w:color w:val="auto"/>
                      <w:lang w:val="en-US" w:eastAsia="zh-CN"/>
                    </w:rPr>
                    <w:t>6.8%</w:t>
                  </w:r>
                </w:p>
              </w:tc>
            </w:tr>
            <w:tr w14:paraId="38787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46AFCFC8">
                  <w:pPr>
                    <w:pStyle w:val="24"/>
                    <w:bidi w:val="0"/>
                    <w:jc w:val="center"/>
                    <w:rPr>
                      <w:rFonts w:hint="eastAsia"/>
                      <w:color w:val="auto"/>
                      <w:lang w:eastAsia="zh-CN"/>
                    </w:rPr>
                  </w:pPr>
                </w:p>
              </w:tc>
              <w:tc>
                <w:tcPr>
                  <w:tcW w:w="1612" w:type="dxa"/>
                  <w:tcBorders>
                    <w:tl2br w:val="nil"/>
                    <w:tr2bl w:val="nil"/>
                  </w:tcBorders>
                  <w:noWrap w:val="0"/>
                  <w:vAlign w:val="center"/>
                </w:tcPr>
                <w:p w14:paraId="2A51DA4F">
                  <w:pPr>
                    <w:pStyle w:val="24"/>
                    <w:bidi w:val="0"/>
                    <w:jc w:val="center"/>
                    <w:rPr>
                      <w:color w:val="auto"/>
                      <w:lang w:val="en-US" w:eastAsia="zh-CN"/>
                    </w:rPr>
                  </w:pPr>
                  <w:r>
                    <w:rPr>
                      <w:color w:val="auto"/>
                    </w:rPr>
                    <w:t>废</w:t>
                  </w:r>
                  <w:r>
                    <w:rPr>
                      <w:rFonts w:hint="eastAsia"/>
                      <w:color w:val="auto"/>
                      <w:lang w:eastAsia="zh-CN"/>
                    </w:rPr>
                    <w:t>气</w:t>
                  </w:r>
                  <w:r>
                    <w:rPr>
                      <w:color w:val="auto"/>
                    </w:rPr>
                    <w:t>治理措施</w:t>
                  </w:r>
                </w:p>
              </w:tc>
              <w:tc>
                <w:tcPr>
                  <w:tcW w:w="4119" w:type="dxa"/>
                  <w:tcBorders>
                    <w:tl2br w:val="nil"/>
                    <w:tr2bl w:val="nil"/>
                  </w:tcBorders>
                  <w:noWrap w:val="0"/>
                  <w:vAlign w:val="center"/>
                </w:tcPr>
                <w:p w14:paraId="51E442CF">
                  <w:pPr>
                    <w:pStyle w:val="24"/>
                    <w:bidi w:val="0"/>
                    <w:jc w:val="center"/>
                    <w:rPr>
                      <w:rFonts w:hint="default" w:eastAsia="宋体"/>
                      <w:color w:val="auto"/>
                      <w:lang w:val="en-US" w:eastAsia="zh-CN"/>
                    </w:rPr>
                  </w:pPr>
                  <w:r>
                    <w:rPr>
                      <w:rFonts w:hint="eastAsia"/>
                      <w:color w:val="auto"/>
                      <w:szCs w:val="21"/>
                      <w:lang w:val="en-US" w:eastAsia="zh-CN"/>
                    </w:rPr>
                    <w:t>充装区</w:t>
                  </w:r>
                  <w:r>
                    <w:rPr>
                      <w:color w:val="auto"/>
                      <w:szCs w:val="21"/>
                    </w:rPr>
                    <w:t>设置</w:t>
                  </w:r>
                  <w:r>
                    <w:rPr>
                      <w:rFonts w:hint="eastAsia"/>
                      <w:color w:val="auto"/>
                      <w:szCs w:val="21"/>
                      <w:lang w:val="en-US" w:eastAsia="zh-CN"/>
                    </w:rPr>
                    <w:t>排风扇</w:t>
                  </w:r>
                  <w:r>
                    <w:rPr>
                      <w:color w:val="auto"/>
                      <w:szCs w:val="21"/>
                    </w:rPr>
                    <w:t>，机械通风</w:t>
                  </w:r>
                  <w:r>
                    <w:rPr>
                      <w:rFonts w:hint="eastAsia"/>
                      <w:color w:val="auto"/>
                      <w:szCs w:val="21"/>
                      <w:lang w:eastAsia="zh-CN"/>
                    </w:rPr>
                    <w:t>，</w:t>
                  </w:r>
                  <w:r>
                    <w:rPr>
                      <w:rFonts w:hint="eastAsia"/>
                      <w:color w:val="auto"/>
                      <w:szCs w:val="21"/>
                      <w:lang w:val="en-US" w:eastAsia="zh-CN"/>
                    </w:rPr>
                    <w:t>气体泄露报警仪等</w:t>
                  </w:r>
                </w:p>
              </w:tc>
              <w:tc>
                <w:tcPr>
                  <w:tcW w:w="1183" w:type="dxa"/>
                  <w:tcBorders>
                    <w:tl2br w:val="nil"/>
                    <w:tr2bl w:val="nil"/>
                  </w:tcBorders>
                  <w:noWrap w:val="0"/>
                  <w:tcMar>
                    <w:left w:w="0" w:type="dxa"/>
                    <w:right w:w="0" w:type="dxa"/>
                  </w:tcMar>
                  <w:vAlign w:val="center"/>
                </w:tcPr>
                <w:p w14:paraId="5BCDEB58">
                  <w:pPr>
                    <w:pStyle w:val="24"/>
                    <w:bidi w:val="0"/>
                    <w:jc w:val="center"/>
                    <w:rPr>
                      <w:rFonts w:hint="default"/>
                      <w:color w:val="auto"/>
                      <w:lang w:val="en-US" w:eastAsia="zh-CN"/>
                    </w:rPr>
                  </w:pPr>
                  <w:r>
                    <w:rPr>
                      <w:rFonts w:hint="eastAsia"/>
                      <w:color w:val="auto"/>
                      <w:lang w:val="en-US" w:eastAsia="zh-CN"/>
                    </w:rPr>
                    <w:t>10</w:t>
                  </w:r>
                </w:p>
              </w:tc>
              <w:tc>
                <w:tcPr>
                  <w:tcW w:w="990" w:type="dxa"/>
                  <w:tcBorders>
                    <w:tl2br w:val="nil"/>
                    <w:tr2bl w:val="nil"/>
                  </w:tcBorders>
                  <w:noWrap w:val="0"/>
                  <w:vAlign w:val="center"/>
                </w:tcPr>
                <w:p w14:paraId="1642B755">
                  <w:pPr>
                    <w:pStyle w:val="24"/>
                    <w:bidi w:val="0"/>
                    <w:jc w:val="center"/>
                    <w:rPr>
                      <w:rFonts w:hint="eastAsia"/>
                      <w:color w:val="auto"/>
                      <w:lang w:val="en-US" w:eastAsia="zh-CN"/>
                    </w:rPr>
                  </w:pPr>
                  <w:r>
                    <w:rPr>
                      <w:rFonts w:hint="eastAsia"/>
                      <w:color w:val="auto"/>
                      <w:lang w:val="en-US" w:eastAsia="zh-CN"/>
                    </w:rPr>
                    <w:t>22.7%</w:t>
                  </w:r>
                </w:p>
              </w:tc>
            </w:tr>
            <w:bookmarkEnd w:id="2"/>
            <w:bookmarkEnd w:id="3"/>
            <w:bookmarkEnd w:id="4"/>
            <w:bookmarkEnd w:id="5"/>
            <w:bookmarkEnd w:id="6"/>
            <w:bookmarkEnd w:id="7"/>
            <w:tr w14:paraId="34B2F3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406EFCC6">
                  <w:pPr>
                    <w:pStyle w:val="24"/>
                    <w:bidi w:val="0"/>
                    <w:jc w:val="center"/>
                    <w:rPr>
                      <w:color w:val="auto"/>
                    </w:rPr>
                  </w:pPr>
                </w:p>
              </w:tc>
              <w:tc>
                <w:tcPr>
                  <w:tcW w:w="1612" w:type="dxa"/>
                  <w:tcBorders>
                    <w:tl2br w:val="nil"/>
                    <w:tr2bl w:val="nil"/>
                  </w:tcBorders>
                  <w:noWrap w:val="0"/>
                  <w:vAlign w:val="center"/>
                </w:tcPr>
                <w:p w14:paraId="632FBD02">
                  <w:pPr>
                    <w:pStyle w:val="24"/>
                    <w:bidi w:val="0"/>
                    <w:jc w:val="center"/>
                    <w:rPr>
                      <w:color w:val="auto"/>
                    </w:rPr>
                  </w:pPr>
                  <w:r>
                    <w:rPr>
                      <w:color w:val="auto"/>
                    </w:rPr>
                    <w:t>固体废物</w:t>
                  </w:r>
                </w:p>
              </w:tc>
              <w:tc>
                <w:tcPr>
                  <w:tcW w:w="4119" w:type="dxa"/>
                  <w:tcBorders>
                    <w:tl2br w:val="nil"/>
                    <w:tr2bl w:val="nil"/>
                  </w:tcBorders>
                  <w:noWrap w:val="0"/>
                  <w:vAlign w:val="center"/>
                </w:tcPr>
                <w:p w14:paraId="2961061A">
                  <w:pPr>
                    <w:pStyle w:val="24"/>
                    <w:bidi w:val="0"/>
                    <w:jc w:val="center"/>
                    <w:rPr>
                      <w:rFonts w:hint="default" w:eastAsia="宋体"/>
                      <w:color w:val="auto"/>
                      <w:lang w:val="en-US" w:eastAsia="zh-CN"/>
                    </w:rPr>
                  </w:pPr>
                  <w:r>
                    <w:rPr>
                      <w:rFonts w:hint="eastAsia"/>
                      <w:color w:val="auto"/>
                      <w:lang w:val="en-US" w:eastAsia="zh-CN"/>
                    </w:rPr>
                    <w:t>生活垃圾统一清运至园区垃圾中转站后由环卫部门统一处置处理，危险废物由有资质的单位回收处理；废钢瓶由市级或市级以上质监部门指定的气瓶检验机构报废销毁</w:t>
                  </w:r>
                </w:p>
              </w:tc>
              <w:tc>
                <w:tcPr>
                  <w:tcW w:w="1183" w:type="dxa"/>
                  <w:tcBorders>
                    <w:tl2br w:val="nil"/>
                    <w:tr2bl w:val="nil"/>
                  </w:tcBorders>
                  <w:noWrap w:val="0"/>
                  <w:tcMar>
                    <w:left w:w="0" w:type="dxa"/>
                    <w:right w:w="0" w:type="dxa"/>
                  </w:tcMar>
                  <w:vAlign w:val="center"/>
                </w:tcPr>
                <w:p w14:paraId="1A317216">
                  <w:pPr>
                    <w:pStyle w:val="24"/>
                    <w:bidi w:val="0"/>
                    <w:jc w:val="center"/>
                    <w:rPr>
                      <w:rFonts w:hint="eastAsia"/>
                      <w:color w:val="auto"/>
                      <w:lang w:eastAsia="zh-CN"/>
                    </w:rPr>
                  </w:pPr>
                  <w:r>
                    <w:rPr>
                      <w:rFonts w:hint="eastAsia"/>
                      <w:color w:val="auto"/>
                      <w:lang w:val="en-US" w:eastAsia="zh-CN"/>
                    </w:rPr>
                    <w:t>2</w:t>
                  </w:r>
                </w:p>
              </w:tc>
              <w:tc>
                <w:tcPr>
                  <w:tcW w:w="990" w:type="dxa"/>
                  <w:tcBorders>
                    <w:tl2br w:val="nil"/>
                    <w:tr2bl w:val="nil"/>
                  </w:tcBorders>
                  <w:noWrap w:val="0"/>
                  <w:vAlign w:val="center"/>
                </w:tcPr>
                <w:p w14:paraId="14D7235A">
                  <w:pPr>
                    <w:pStyle w:val="24"/>
                    <w:bidi w:val="0"/>
                    <w:jc w:val="center"/>
                    <w:rPr>
                      <w:rFonts w:hint="eastAsia"/>
                      <w:color w:val="auto"/>
                      <w:lang w:val="en-US" w:eastAsia="zh-CN"/>
                    </w:rPr>
                  </w:pPr>
                  <w:r>
                    <w:rPr>
                      <w:rFonts w:hint="eastAsia"/>
                      <w:color w:val="auto"/>
                      <w:lang w:val="en-US" w:eastAsia="zh-CN"/>
                    </w:rPr>
                    <w:t>4.6%</w:t>
                  </w:r>
                </w:p>
              </w:tc>
            </w:tr>
            <w:tr w14:paraId="50944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233499C3">
                  <w:pPr>
                    <w:pStyle w:val="24"/>
                    <w:bidi w:val="0"/>
                    <w:jc w:val="center"/>
                    <w:rPr>
                      <w:color w:val="auto"/>
                    </w:rPr>
                  </w:pPr>
                </w:p>
              </w:tc>
              <w:tc>
                <w:tcPr>
                  <w:tcW w:w="1612" w:type="dxa"/>
                  <w:tcBorders>
                    <w:tl2br w:val="nil"/>
                    <w:tr2bl w:val="nil"/>
                  </w:tcBorders>
                  <w:noWrap w:val="0"/>
                  <w:vAlign w:val="center"/>
                </w:tcPr>
                <w:p w14:paraId="7F146BA6">
                  <w:pPr>
                    <w:pStyle w:val="24"/>
                    <w:bidi w:val="0"/>
                    <w:jc w:val="center"/>
                    <w:rPr>
                      <w:rFonts w:hint="default" w:eastAsia="宋体"/>
                      <w:color w:val="auto"/>
                      <w:lang w:val="en-US" w:eastAsia="zh-CN"/>
                    </w:rPr>
                  </w:pPr>
                  <w:r>
                    <w:rPr>
                      <w:rFonts w:hint="eastAsia"/>
                      <w:color w:val="auto"/>
                      <w:lang w:val="en-US" w:eastAsia="zh-CN"/>
                    </w:rPr>
                    <w:t>废水治理措施</w:t>
                  </w:r>
                </w:p>
              </w:tc>
              <w:tc>
                <w:tcPr>
                  <w:tcW w:w="4119" w:type="dxa"/>
                  <w:tcBorders>
                    <w:tl2br w:val="nil"/>
                    <w:tr2bl w:val="nil"/>
                  </w:tcBorders>
                  <w:noWrap w:val="0"/>
                  <w:vAlign w:val="center"/>
                </w:tcPr>
                <w:p w14:paraId="0A55B3CA">
                  <w:pPr>
                    <w:pStyle w:val="24"/>
                    <w:bidi w:val="0"/>
                    <w:jc w:val="center"/>
                    <w:rPr>
                      <w:rFonts w:hint="default"/>
                      <w:color w:val="auto"/>
                      <w:vertAlign w:val="baseline"/>
                      <w:lang w:val="en-US" w:eastAsia="zh-CN"/>
                    </w:rPr>
                  </w:pPr>
                  <w:r>
                    <w:rPr>
                      <w:rFonts w:hint="eastAsia"/>
                      <w:color w:val="auto"/>
                      <w:lang w:val="en-US" w:eastAsia="zh-CN"/>
                    </w:rPr>
                    <w:t>建设一座5m</w:t>
                  </w:r>
                  <w:r>
                    <w:rPr>
                      <w:rFonts w:hint="eastAsia"/>
                      <w:color w:val="auto"/>
                      <w:vertAlign w:val="superscript"/>
                      <w:lang w:val="en-US" w:eastAsia="zh-CN"/>
                    </w:rPr>
                    <w:t>3</w:t>
                  </w:r>
                  <w:r>
                    <w:rPr>
                      <w:rFonts w:hint="eastAsia"/>
                      <w:color w:val="auto"/>
                      <w:vertAlign w:val="baseline"/>
                      <w:lang w:val="en-US" w:eastAsia="zh-CN"/>
                    </w:rPr>
                    <w:t>的化粪池</w:t>
                  </w:r>
                </w:p>
              </w:tc>
              <w:tc>
                <w:tcPr>
                  <w:tcW w:w="1183" w:type="dxa"/>
                  <w:tcBorders>
                    <w:tl2br w:val="nil"/>
                    <w:tr2bl w:val="nil"/>
                  </w:tcBorders>
                  <w:noWrap w:val="0"/>
                  <w:tcMar>
                    <w:left w:w="0" w:type="dxa"/>
                    <w:right w:w="0" w:type="dxa"/>
                  </w:tcMar>
                  <w:vAlign w:val="center"/>
                </w:tcPr>
                <w:p w14:paraId="3CF6FA52">
                  <w:pPr>
                    <w:pStyle w:val="24"/>
                    <w:bidi w:val="0"/>
                    <w:jc w:val="center"/>
                    <w:rPr>
                      <w:rFonts w:hint="default"/>
                      <w:color w:val="auto"/>
                      <w:lang w:val="en-US" w:eastAsia="zh-CN"/>
                    </w:rPr>
                  </w:pPr>
                  <w:r>
                    <w:rPr>
                      <w:rFonts w:hint="eastAsia"/>
                      <w:color w:val="auto"/>
                      <w:lang w:val="en-US" w:eastAsia="zh-CN"/>
                    </w:rPr>
                    <w:t>4</w:t>
                  </w:r>
                </w:p>
              </w:tc>
              <w:tc>
                <w:tcPr>
                  <w:tcW w:w="990" w:type="dxa"/>
                  <w:tcBorders>
                    <w:tl2br w:val="nil"/>
                    <w:tr2bl w:val="nil"/>
                  </w:tcBorders>
                  <w:noWrap w:val="0"/>
                  <w:vAlign w:val="center"/>
                </w:tcPr>
                <w:p w14:paraId="362E2828">
                  <w:pPr>
                    <w:pStyle w:val="24"/>
                    <w:bidi w:val="0"/>
                    <w:jc w:val="center"/>
                    <w:rPr>
                      <w:rFonts w:hint="eastAsia"/>
                      <w:color w:val="auto"/>
                      <w:lang w:val="en-US" w:eastAsia="zh-CN"/>
                    </w:rPr>
                  </w:pPr>
                  <w:r>
                    <w:rPr>
                      <w:rFonts w:hint="eastAsia"/>
                      <w:color w:val="auto"/>
                      <w:lang w:val="en-US" w:eastAsia="zh-CN"/>
                    </w:rPr>
                    <w:t>9.1%</w:t>
                  </w:r>
                </w:p>
              </w:tc>
            </w:tr>
            <w:tr w14:paraId="33F7C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dxa"/>
                  <w:vMerge w:val="continue"/>
                  <w:tcBorders>
                    <w:tl2br w:val="nil"/>
                    <w:tr2bl w:val="nil"/>
                  </w:tcBorders>
                  <w:noWrap w:val="0"/>
                  <w:vAlign w:val="center"/>
                </w:tcPr>
                <w:p w14:paraId="09AD9020">
                  <w:pPr>
                    <w:pStyle w:val="24"/>
                    <w:bidi w:val="0"/>
                    <w:jc w:val="center"/>
                    <w:rPr>
                      <w:color w:val="auto"/>
                    </w:rPr>
                  </w:pPr>
                </w:p>
              </w:tc>
              <w:tc>
                <w:tcPr>
                  <w:tcW w:w="1612" w:type="dxa"/>
                  <w:tcBorders>
                    <w:tl2br w:val="nil"/>
                    <w:tr2bl w:val="nil"/>
                  </w:tcBorders>
                  <w:noWrap w:val="0"/>
                  <w:vAlign w:val="center"/>
                </w:tcPr>
                <w:p w14:paraId="1F763D76">
                  <w:pPr>
                    <w:pStyle w:val="24"/>
                    <w:bidi w:val="0"/>
                    <w:jc w:val="center"/>
                    <w:rPr>
                      <w:rFonts w:hint="default" w:eastAsia="宋体"/>
                      <w:color w:val="auto"/>
                      <w:lang w:val="en-US" w:eastAsia="zh-CN"/>
                    </w:rPr>
                  </w:pPr>
                  <w:r>
                    <w:rPr>
                      <w:rFonts w:hint="eastAsia"/>
                      <w:color w:val="auto"/>
                      <w:lang w:val="en-US" w:eastAsia="zh-CN"/>
                    </w:rPr>
                    <w:t>危废暂存间</w:t>
                  </w:r>
                </w:p>
              </w:tc>
              <w:tc>
                <w:tcPr>
                  <w:tcW w:w="4119" w:type="dxa"/>
                  <w:tcBorders>
                    <w:tl2br w:val="nil"/>
                    <w:tr2bl w:val="nil"/>
                  </w:tcBorders>
                  <w:noWrap w:val="0"/>
                  <w:vAlign w:val="center"/>
                </w:tcPr>
                <w:p w14:paraId="55E65A85">
                  <w:pPr>
                    <w:pStyle w:val="24"/>
                    <w:bidi w:val="0"/>
                    <w:jc w:val="center"/>
                    <w:rPr>
                      <w:rFonts w:hint="default"/>
                      <w:color w:val="auto"/>
                      <w:vertAlign w:val="baseline"/>
                      <w:lang w:val="en-US" w:eastAsia="zh-CN"/>
                    </w:rPr>
                  </w:pPr>
                  <w:r>
                    <w:rPr>
                      <w:rFonts w:hint="eastAsia"/>
                      <w:color w:val="auto"/>
                      <w:lang w:val="en-US" w:eastAsia="zh-CN"/>
                    </w:rPr>
                    <w:t>建设一间5m</w:t>
                  </w:r>
                  <w:r>
                    <w:rPr>
                      <w:rFonts w:hint="eastAsia"/>
                      <w:color w:val="auto"/>
                      <w:vertAlign w:val="superscript"/>
                      <w:lang w:val="en-US" w:eastAsia="zh-CN"/>
                    </w:rPr>
                    <w:t>2</w:t>
                  </w:r>
                  <w:r>
                    <w:rPr>
                      <w:rFonts w:hint="eastAsia"/>
                      <w:color w:val="auto"/>
                      <w:vertAlign w:val="baseline"/>
                      <w:lang w:val="en-US" w:eastAsia="zh-CN"/>
                    </w:rPr>
                    <w:t>的危废暂存间</w:t>
                  </w:r>
                </w:p>
              </w:tc>
              <w:tc>
                <w:tcPr>
                  <w:tcW w:w="1183" w:type="dxa"/>
                  <w:tcBorders>
                    <w:tl2br w:val="nil"/>
                    <w:tr2bl w:val="nil"/>
                  </w:tcBorders>
                  <w:noWrap w:val="0"/>
                  <w:tcMar>
                    <w:left w:w="0" w:type="dxa"/>
                    <w:right w:w="0" w:type="dxa"/>
                  </w:tcMar>
                  <w:vAlign w:val="center"/>
                </w:tcPr>
                <w:p w14:paraId="7FC71CF9">
                  <w:pPr>
                    <w:pStyle w:val="24"/>
                    <w:bidi w:val="0"/>
                    <w:jc w:val="center"/>
                    <w:rPr>
                      <w:rFonts w:hint="default"/>
                      <w:color w:val="auto"/>
                      <w:lang w:val="en-US" w:eastAsia="zh-CN"/>
                    </w:rPr>
                  </w:pPr>
                  <w:r>
                    <w:rPr>
                      <w:rFonts w:hint="eastAsia"/>
                      <w:color w:val="auto"/>
                      <w:lang w:val="en-US" w:eastAsia="zh-CN"/>
                    </w:rPr>
                    <w:t>5</w:t>
                  </w:r>
                </w:p>
              </w:tc>
              <w:tc>
                <w:tcPr>
                  <w:tcW w:w="990" w:type="dxa"/>
                  <w:tcBorders>
                    <w:tl2br w:val="nil"/>
                    <w:tr2bl w:val="nil"/>
                  </w:tcBorders>
                  <w:noWrap w:val="0"/>
                  <w:vAlign w:val="center"/>
                </w:tcPr>
                <w:p w14:paraId="6F6BE987">
                  <w:pPr>
                    <w:pStyle w:val="24"/>
                    <w:bidi w:val="0"/>
                    <w:jc w:val="center"/>
                    <w:rPr>
                      <w:rFonts w:hint="eastAsia"/>
                      <w:color w:val="auto"/>
                      <w:lang w:val="en-US" w:eastAsia="zh-CN"/>
                    </w:rPr>
                  </w:pPr>
                  <w:r>
                    <w:rPr>
                      <w:rFonts w:hint="eastAsia"/>
                      <w:color w:val="auto"/>
                      <w:lang w:val="en-US" w:eastAsia="zh-CN"/>
                    </w:rPr>
                    <w:t>11.4%</w:t>
                  </w:r>
                </w:p>
              </w:tc>
            </w:tr>
            <w:tr w14:paraId="77CEE5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09" w:type="dxa"/>
                  <w:gridSpan w:val="2"/>
                  <w:tcBorders>
                    <w:tl2br w:val="nil"/>
                    <w:tr2bl w:val="nil"/>
                  </w:tcBorders>
                  <w:noWrap w:val="0"/>
                  <w:vAlign w:val="center"/>
                </w:tcPr>
                <w:p w14:paraId="365214BD">
                  <w:pPr>
                    <w:pStyle w:val="24"/>
                    <w:bidi w:val="0"/>
                    <w:jc w:val="center"/>
                    <w:rPr>
                      <w:color w:val="auto"/>
                    </w:rPr>
                  </w:pPr>
                  <w:r>
                    <w:rPr>
                      <w:color w:val="auto"/>
                    </w:rPr>
                    <w:t>合计</w:t>
                  </w:r>
                </w:p>
              </w:tc>
              <w:tc>
                <w:tcPr>
                  <w:tcW w:w="4119" w:type="dxa"/>
                  <w:tcBorders>
                    <w:tl2br w:val="nil"/>
                    <w:tr2bl w:val="nil"/>
                  </w:tcBorders>
                  <w:noWrap w:val="0"/>
                  <w:vAlign w:val="center"/>
                </w:tcPr>
                <w:p w14:paraId="394C6916">
                  <w:pPr>
                    <w:pStyle w:val="24"/>
                    <w:bidi w:val="0"/>
                    <w:jc w:val="center"/>
                    <w:rPr>
                      <w:rFonts w:hint="eastAsia"/>
                      <w:color w:val="auto"/>
                      <w:lang w:eastAsia="zh-CN"/>
                    </w:rPr>
                  </w:pPr>
                  <w:r>
                    <w:rPr>
                      <w:rFonts w:hint="eastAsia"/>
                      <w:color w:val="auto"/>
                      <w:lang w:val="en-US" w:eastAsia="zh-CN"/>
                    </w:rPr>
                    <w:t>-</w:t>
                  </w:r>
                </w:p>
              </w:tc>
              <w:tc>
                <w:tcPr>
                  <w:tcW w:w="1183" w:type="dxa"/>
                  <w:tcBorders>
                    <w:tl2br w:val="nil"/>
                    <w:tr2bl w:val="nil"/>
                  </w:tcBorders>
                  <w:noWrap w:val="0"/>
                  <w:vAlign w:val="center"/>
                </w:tcPr>
                <w:p w14:paraId="653A6219">
                  <w:pPr>
                    <w:pStyle w:val="24"/>
                    <w:bidi w:val="0"/>
                    <w:jc w:val="center"/>
                    <w:rPr>
                      <w:rFonts w:hint="default"/>
                      <w:color w:val="auto"/>
                      <w:lang w:val="en-US" w:eastAsia="zh-CN"/>
                    </w:rPr>
                  </w:pPr>
                  <w:r>
                    <w:rPr>
                      <w:rFonts w:hint="eastAsia"/>
                      <w:color w:val="auto"/>
                      <w:lang w:val="en-US" w:eastAsia="zh-CN"/>
                    </w:rPr>
                    <w:t>44</w:t>
                  </w:r>
                </w:p>
              </w:tc>
              <w:tc>
                <w:tcPr>
                  <w:tcW w:w="990" w:type="dxa"/>
                  <w:tcBorders>
                    <w:tl2br w:val="nil"/>
                    <w:tr2bl w:val="nil"/>
                  </w:tcBorders>
                  <w:noWrap w:val="0"/>
                  <w:vAlign w:val="center"/>
                </w:tcPr>
                <w:p w14:paraId="02648EA9">
                  <w:pPr>
                    <w:pStyle w:val="24"/>
                    <w:bidi w:val="0"/>
                    <w:jc w:val="center"/>
                    <w:rPr>
                      <w:rFonts w:hint="default" w:eastAsia="宋体"/>
                      <w:color w:val="auto"/>
                      <w:lang w:val="en-US" w:eastAsia="zh-CN"/>
                    </w:rPr>
                  </w:pPr>
                  <w:r>
                    <w:rPr>
                      <w:rFonts w:hint="eastAsia"/>
                      <w:color w:val="auto"/>
                      <w:lang w:val="en-US" w:eastAsia="zh-CN"/>
                    </w:rPr>
                    <w:t>100%</w:t>
                  </w:r>
                </w:p>
              </w:tc>
            </w:tr>
          </w:tbl>
          <w:p w14:paraId="1DD3F05F">
            <w:pPr>
              <w:pStyle w:val="23"/>
              <w:bidi w:val="0"/>
              <w:rPr>
                <w:rFonts w:hint="default" w:ascii="Times New Roman" w:hAnsi="Times New Roman" w:cs="Times New Roman"/>
                <w:color w:val="auto"/>
                <w:lang w:val="en-US" w:eastAsia="zh-CN"/>
              </w:rPr>
            </w:pPr>
          </w:p>
        </w:tc>
      </w:tr>
      <w:tr w14:paraId="7EF109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14:paraId="6CA8CD1D">
            <w:pPr>
              <w:pStyle w:val="15"/>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工艺流程和产排污环节</w:t>
            </w:r>
          </w:p>
        </w:tc>
        <w:tc>
          <w:tcPr>
            <w:tcW w:w="8835" w:type="dxa"/>
            <w:noWrap w:val="0"/>
            <w:vAlign w:val="top"/>
          </w:tcPr>
          <w:p w14:paraId="36F195EE">
            <w:pPr>
              <w:pStyle w:val="23"/>
              <w:numPr>
                <w:ilvl w:val="0"/>
                <w:numId w:val="1"/>
              </w:numPr>
              <w:bidi w:val="0"/>
              <w:rPr>
                <w:rFonts w:hint="eastAsia"/>
                <w:b/>
                <w:bCs/>
                <w:color w:val="auto"/>
                <w:lang w:val="en-US" w:eastAsia="zh-CN"/>
              </w:rPr>
            </w:pPr>
            <w:r>
              <w:rPr>
                <w:rFonts w:hint="eastAsia"/>
                <w:b/>
                <w:bCs/>
                <w:color w:val="auto"/>
                <w:lang w:val="en-US" w:eastAsia="zh-CN"/>
              </w:rPr>
              <w:t>施工期</w:t>
            </w:r>
          </w:p>
          <w:p w14:paraId="3EAAD22A">
            <w:pPr>
              <w:pStyle w:val="44"/>
              <w:bidi w:val="0"/>
              <w:rPr>
                <w:rFonts w:hint="eastAsia"/>
                <w:color w:val="auto"/>
                <w:lang w:val="en-US" w:eastAsia="zh-CN"/>
              </w:rPr>
            </w:pPr>
            <w:r>
              <w:rPr>
                <w:rFonts w:hint="eastAsia"/>
                <w:color w:val="auto"/>
                <w:lang w:val="en-US" w:eastAsia="zh-CN"/>
              </w:rPr>
              <w:t>本项目用地位于固原市经济开发区内。主要建设内容为办公区，库房区、生产区。建设工艺如下图所示：</w:t>
            </w:r>
          </w:p>
          <w:p w14:paraId="537DF332">
            <w:pPr>
              <w:pStyle w:val="26"/>
              <w:bidi w:val="0"/>
              <w:rPr>
                <w:rFonts w:hint="default"/>
                <w:color w:val="auto"/>
              </w:rPr>
            </w:pPr>
            <w:r>
              <w:rPr>
                <w:rFonts w:hint="default"/>
                <w:color w:val="auto"/>
              </w:rPr>
              <w:drawing>
                <wp:inline distT="0" distB="0" distL="114300" distR="114300">
                  <wp:extent cx="5502275" cy="1970405"/>
                  <wp:effectExtent l="9525" t="9525" r="12700" b="203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1"/>
                          <a:stretch>
                            <a:fillRect/>
                          </a:stretch>
                        </pic:blipFill>
                        <pic:spPr>
                          <a:xfrm>
                            <a:off x="0" y="0"/>
                            <a:ext cx="5502275" cy="197040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41C26F03">
            <w:pPr>
              <w:pStyle w:val="27"/>
              <w:bidi w:val="0"/>
              <w:rPr>
                <w:rFonts w:hint="eastAsia"/>
                <w:color w:val="auto"/>
                <w:lang w:val="en-US" w:eastAsia="zh-CN"/>
              </w:rPr>
            </w:pPr>
            <w:r>
              <w:rPr>
                <w:rFonts w:hint="eastAsia"/>
                <w:color w:val="auto"/>
                <w:lang w:val="en-US" w:eastAsia="zh-CN"/>
              </w:rPr>
              <w:t>图4 施工期施工流程及产污环节图</w:t>
            </w:r>
          </w:p>
          <w:p w14:paraId="547367D4">
            <w:pPr>
              <w:pStyle w:val="51"/>
              <w:ind w:firstLine="480"/>
              <w:rPr>
                <w:color w:val="auto"/>
              </w:rPr>
            </w:pPr>
            <w:r>
              <w:rPr>
                <w:rFonts w:hint="eastAsia"/>
                <w:color w:val="auto"/>
              </w:rPr>
              <w:t>主要污染工序：</w:t>
            </w:r>
          </w:p>
          <w:p w14:paraId="1843FD8C">
            <w:pPr>
              <w:pStyle w:val="51"/>
              <w:ind w:firstLine="482"/>
              <w:rPr>
                <w:b/>
                <w:color w:val="auto"/>
              </w:rPr>
            </w:pPr>
            <w:r>
              <w:rPr>
                <w:rFonts w:hint="eastAsia"/>
                <w:b/>
                <w:color w:val="auto"/>
                <w:lang w:eastAsia="zh-CN"/>
              </w:rPr>
              <w:t>（</w:t>
            </w:r>
            <w:r>
              <w:rPr>
                <w:rFonts w:hint="eastAsia"/>
                <w:b/>
                <w:color w:val="auto"/>
                <w:lang w:val="en-US" w:eastAsia="zh-CN"/>
              </w:rPr>
              <w:t>1</w:t>
            </w:r>
            <w:r>
              <w:rPr>
                <w:rFonts w:hint="eastAsia"/>
                <w:b/>
                <w:color w:val="auto"/>
                <w:lang w:eastAsia="zh-CN"/>
              </w:rPr>
              <w:t>）</w:t>
            </w:r>
            <w:r>
              <w:rPr>
                <w:rFonts w:hint="eastAsia"/>
                <w:b/>
                <w:color w:val="auto"/>
              </w:rPr>
              <w:t>废气</w:t>
            </w:r>
          </w:p>
          <w:p w14:paraId="54BA2D4F">
            <w:pPr>
              <w:pStyle w:val="51"/>
              <w:ind w:firstLine="504"/>
              <w:rPr>
                <w:color w:val="auto"/>
                <w:spacing w:val="6"/>
                <w:kern w:val="2"/>
              </w:rPr>
            </w:pPr>
            <w:r>
              <w:rPr>
                <w:rFonts w:hint="eastAsia"/>
                <w:color w:val="auto"/>
                <w:spacing w:val="6"/>
                <w:kern w:val="2"/>
              </w:rPr>
              <w:t>施工过程中产生的主要污染物为</w:t>
            </w:r>
            <w:r>
              <w:rPr>
                <w:rFonts w:hint="eastAsia"/>
                <w:color w:val="auto"/>
                <w:spacing w:val="6"/>
                <w:kern w:val="2"/>
                <w:lang w:val="en-US" w:eastAsia="zh-CN"/>
              </w:rPr>
              <w:t>汽车尾气、施工</w:t>
            </w:r>
            <w:r>
              <w:rPr>
                <w:rFonts w:hint="eastAsia"/>
                <w:color w:val="auto"/>
                <w:spacing w:val="6"/>
                <w:kern w:val="2"/>
              </w:rPr>
              <w:t>扬尘。在设备装卸、运输、堆放及设备安装等过程产生扬尘。</w:t>
            </w:r>
          </w:p>
          <w:p w14:paraId="1E5A1CD2">
            <w:pPr>
              <w:pStyle w:val="51"/>
              <w:ind w:firstLine="506"/>
              <w:rPr>
                <w:b/>
                <w:color w:val="auto"/>
                <w:spacing w:val="6"/>
                <w:kern w:val="2"/>
              </w:rPr>
            </w:pPr>
            <w:r>
              <w:rPr>
                <w:rFonts w:hint="eastAsia"/>
                <w:b/>
                <w:color w:val="auto"/>
                <w:lang w:eastAsia="zh-CN"/>
              </w:rPr>
              <w:t>（</w:t>
            </w:r>
            <w:r>
              <w:rPr>
                <w:rFonts w:hint="eastAsia"/>
                <w:b/>
                <w:color w:val="auto"/>
                <w:lang w:val="en-US" w:eastAsia="zh-CN"/>
              </w:rPr>
              <w:t>2</w:t>
            </w:r>
            <w:r>
              <w:rPr>
                <w:rFonts w:hint="eastAsia"/>
                <w:b/>
                <w:color w:val="auto"/>
                <w:lang w:eastAsia="zh-CN"/>
              </w:rPr>
              <w:t>）</w:t>
            </w:r>
            <w:r>
              <w:rPr>
                <w:rFonts w:hint="eastAsia"/>
                <w:b/>
                <w:color w:val="auto"/>
                <w:spacing w:val="6"/>
              </w:rPr>
              <w:t>废水</w:t>
            </w:r>
          </w:p>
          <w:p w14:paraId="2E15B8B1">
            <w:pPr>
              <w:pStyle w:val="51"/>
              <w:ind w:firstLine="504"/>
              <w:rPr>
                <w:color w:val="auto"/>
                <w:spacing w:val="6"/>
                <w:kern w:val="2"/>
              </w:rPr>
            </w:pPr>
            <w:r>
              <w:rPr>
                <w:rFonts w:hint="eastAsia"/>
                <w:color w:val="auto"/>
                <w:spacing w:val="6"/>
                <w:kern w:val="2"/>
              </w:rPr>
              <w:t>施工过程中产生的污水主要是施工废水和施工人员产生的生活污水。生活污水主要污染物是</w:t>
            </w:r>
            <w:r>
              <w:rPr>
                <w:color w:val="auto"/>
                <w:spacing w:val="6"/>
                <w:kern w:val="2"/>
              </w:rPr>
              <w:t>COD</w:t>
            </w:r>
            <w:r>
              <w:rPr>
                <w:rFonts w:hint="eastAsia"/>
                <w:color w:val="auto"/>
                <w:spacing w:val="6"/>
                <w:kern w:val="2"/>
              </w:rPr>
              <w:t>、</w:t>
            </w:r>
            <w:r>
              <w:rPr>
                <w:color w:val="auto"/>
                <w:spacing w:val="6"/>
                <w:kern w:val="2"/>
              </w:rPr>
              <w:t>BOD</w:t>
            </w:r>
            <w:r>
              <w:rPr>
                <w:color w:val="auto"/>
                <w:spacing w:val="6"/>
                <w:kern w:val="2"/>
                <w:vertAlign w:val="subscript"/>
              </w:rPr>
              <w:t>5</w:t>
            </w:r>
            <w:r>
              <w:rPr>
                <w:rFonts w:hint="eastAsia"/>
                <w:color w:val="auto"/>
                <w:spacing w:val="6"/>
                <w:kern w:val="2"/>
              </w:rPr>
              <w:t>、</w:t>
            </w:r>
            <w:r>
              <w:rPr>
                <w:color w:val="auto"/>
                <w:spacing w:val="6"/>
                <w:kern w:val="2"/>
              </w:rPr>
              <w:t>SS</w:t>
            </w:r>
            <w:r>
              <w:rPr>
                <w:rFonts w:hint="eastAsia"/>
                <w:color w:val="auto"/>
                <w:spacing w:val="6"/>
                <w:kern w:val="2"/>
              </w:rPr>
              <w:t>和</w:t>
            </w:r>
            <w:r>
              <w:rPr>
                <w:color w:val="auto"/>
                <w:spacing w:val="6"/>
                <w:kern w:val="2"/>
              </w:rPr>
              <w:t>NH</w:t>
            </w:r>
            <w:r>
              <w:rPr>
                <w:color w:val="auto"/>
                <w:spacing w:val="6"/>
                <w:kern w:val="2"/>
                <w:vertAlign w:val="subscript"/>
              </w:rPr>
              <w:t>3</w:t>
            </w:r>
            <w:r>
              <w:rPr>
                <w:color w:val="auto"/>
                <w:spacing w:val="6"/>
                <w:kern w:val="2"/>
              </w:rPr>
              <w:t>-N</w:t>
            </w:r>
            <w:r>
              <w:rPr>
                <w:rFonts w:hint="eastAsia"/>
                <w:color w:val="auto"/>
                <w:spacing w:val="6"/>
                <w:kern w:val="2"/>
              </w:rPr>
              <w:t>等；施工废水主要污染物是</w:t>
            </w:r>
            <w:r>
              <w:rPr>
                <w:color w:val="auto"/>
                <w:spacing w:val="6"/>
                <w:kern w:val="2"/>
              </w:rPr>
              <w:t>SS</w:t>
            </w:r>
            <w:r>
              <w:rPr>
                <w:rFonts w:hint="eastAsia"/>
                <w:color w:val="auto"/>
                <w:spacing w:val="6"/>
                <w:kern w:val="2"/>
              </w:rPr>
              <w:t>。</w:t>
            </w:r>
          </w:p>
          <w:p w14:paraId="070A996B">
            <w:pPr>
              <w:pStyle w:val="51"/>
              <w:ind w:firstLine="506"/>
              <w:rPr>
                <w:b/>
                <w:color w:val="auto"/>
                <w:spacing w:val="6"/>
                <w:kern w:val="2"/>
              </w:rPr>
            </w:pPr>
            <w:r>
              <w:rPr>
                <w:rFonts w:hint="eastAsia"/>
                <w:b/>
                <w:color w:val="auto"/>
                <w:lang w:eastAsia="zh-CN"/>
              </w:rPr>
              <w:t>（</w:t>
            </w:r>
            <w:r>
              <w:rPr>
                <w:rFonts w:hint="eastAsia"/>
                <w:b/>
                <w:color w:val="auto"/>
                <w:lang w:val="en-US" w:eastAsia="zh-CN"/>
              </w:rPr>
              <w:t>3</w:t>
            </w:r>
            <w:r>
              <w:rPr>
                <w:rFonts w:hint="eastAsia"/>
                <w:b/>
                <w:color w:val="auto"/>
                <w:lang w:eastAsia="zh-CN"/>
              </w:rPr>
              <w:t>）</w:t>
            </w:r>
            <w:r>
              <w:rPr>
                <w:rFonts w:hint="eastAsia"/>
                <w:b/>
                <w:color w:val="auto"/>
                <w:spacing w:val="6"/>
              </w:rPr>
              <w:t>噪声</w:t>
            </w:r>
          </w:p>
          <w:p w14:paraId="5655DA12">
            <w:pPr>
              <w:pStyle w:val="51"/>
              <w:ind w:firstLine="504"/>
              <w:rPr>
                <w:color w:val="auto"/>
                <w:spacing w:val="6"/>
                <w:kern w:val="2"/>
              </w:rPr>
            </w:pPr>
            <w:r>
              <w:rPr>
                <w:rFonts w:hint="eastAsia"/>
                <w:color w:val="auto"/>
                <w:spacing w:val="6"/>
                <w:kern w:val="2"/>
              </w:rPr>
              <w:t>项目施工期产生的噪声主要为各个施工阶段施工运输车辆和设备安装阶段产生的噪声等。</w:t>
            </w:r>
          </w:p>
          <w:p w14:paraId="581F7106">
            <w:pPr>
              <w:pStyle w:val="51"/>
              <w:ind w:firstLine="506"/>
              <w:rPr>
                <w:b/>
                <w:color w:val="auto"/>
                <w:spacing w:val="6"/>
                <w:kern w:val="2"/>
              </w:rPr>
            </w:pPr>
            <w:r>
              <w:rPr>
                <w:rFonts w:hint="eastAsia"/>
                <w:b/>
                <w:color w:val="auto"/>
                <w:lang w:eastAsia="zh-CN"/>
              </w:rPr>
              <w:t>（</w:t>
            </w:r>
            <w:r>
              <w:rPr>
                <w:rFonts w:hint="eastAsia"/>
                <w:b/>
                <w:color w:val="auto"/>
                <w:lang w:val="en-US" w:eastAsia="zh-CN"/>
              </w:rPr>
              <w:t>4</w:t>
            </w:r>
            <w:r>
              <w:rPr>
                <w:rFonts w:hint="eastAsia"/>
                <w:b/>
                <w:color w:val="auto"/>
                <w:lang w:eastAsia="zh-CN"/>
              </w:rPr>
              <w:t>）</w:t>
            </w:r>
            <w:r>
              <w:rPr>
                <w:rFonts w:hint="eastAsia"/>
                <w:b/>
                <w:color w:val="auto"/>
                <w:spacing w:val="6"/>
              </w:rPr>
              <w:t>固体废物</w:t>
            </w:r>
          </w:p>
          <w:p w14:paraId="5C5F2DCF">
            <w:pPr>
              <w:pStyle w:val="51"/>
              <w:ind w:firstLine="504"/>
              <w:rPr>
                <w:color w:val="auto"/>
              </w:rPr>
            </w:pPr>
            <w:r>
              <w:rPr>
                <w:rFonts w:hint="eastAsia"/>
                <w:color w:val="auto"/>
                <w:spacing w:val="6"/>
                <w:kern w:val="2"/>
              </w:rPr>
              <w:t>施工期固体废物主要是建设过程中产生的</w:t>
            </w:r>
            <w:r>
              <w:rPr>
                <w:rFonts w:hint="eastAsia"/>
                <w:color w:val="auto"/>
                <w:spacing w:val="6"/>
                <w:kern w:val="2"/>
                <w:lang w:val="en-US" w:eastAsia="zh-CN"/>
              </w:rPr>
              <w:t>建筑垃圾</w:t>
            </w:r>
            <w:r>
              <w:rPr>
                <w:rFonts w:hint="eastAsia"/>
                <w:color w:val="auto"/>
                <w:spacing w:val="6"/>
                <w:kern w:val="2"/>
              </w:rPr>
              <w:t>及施工人员生活垃圾等。</w:t>
            </w:r>
          </w:p>
          <w:p w14:paraId="540CB345">
            <w:pPr>
              <w:pStyle w:val="23"/>
              <w:numPr>
                <w:ilvl w:val="0"/>
                <w:numId w:val="1"/>
              </w:numPr>
              <w:bidi w:val="0"/>
              <w:rPr>
                <w:rFonts w:hint="default"/>
                <w:b/>
                <w:bCs/>
                <w:color w:val="auto"/>
                <w:lang w:val="en-US" w:eastAsia="zh-CN"/>
              </w:rPr>
            </w:pPr>
            <w:r>
              <w:rPr>
                <w:rFonts w:hint="eastAsia"/>
                <w:b/>
                <w:bCs/>
                <w:color w:val="auto"/>
                <w:lang w:val="en-US" w:eastAsia="zh-CN"/>
              </w:rPr>
              <w:t>运营期</w:t>
            </w:r>
          </w:p>
          <w:p w14:paraId="666ADE94">
            <w:pPr>
              <w:pStyle w:val="23"/>
              <w:bidi w:val="0"/>
              <w:rPr>
                <w:rFonts w:hint="default"/>
                <w:color w:val="auto"/>
                <w:lang w:val="en-US" w:eastAsia="zh-CN"/>
              </w:rPr>
            </w:pPr>
            <w:r>
              <w:rPr>
                <w:rFonts w:hint="default"/>
                <w:color w:val="auto"/>
                <w:lang w:val="en-US" w:eastAsia="zh-CN"/>
              </w:rPr>
              <w:t>购入的低温液态丙烷，由厂家的专用运输槽车将其送至低温液体储罐内，充装时，缓缓开启低温液体泵</w:t>
            </w:r>
            <w:r>
              <w:rPr>
                <w:rFonts w:hint="eastAsia"/>
                <w:color w:val="auto"/>
                <w:lang w:val="en-US" w:eastAsia="zh-CN"/>
              </w:rPr>
              <w:t>（</w:t>
            </w:r>
            <w:r>
              <w:rPr>
                <w:rFonts w:hint="eastAsia" w:ascii="Times New Roman" w:hAnsi="Times New Roman" w:eastAsia="宋体" w:cs="Times New Roman"/>
                <w:color w:val="auto"/>
                <w:lang w:val="en-US" w:eastAsia="zh-CN"/>
              </w:rPr>
              <w:t>液化石油气螺杆泵</w:t>
            </w:r>
            <w:r>
              <w:rPr>
                <w:rFonts w:hint="eastAsia"/>
                <w:color w:val="auto"/>
                <w:lang w:val="en-US" w:eastAsia="zh-CN"/>
              </w:rPr>
              <w:t>）</w:t>
            </w:r>
            <w:r>
              <w:rPr>
                <w:rFonts w:hint="default"/>
                <w:color w:val="auto"/>
                <w:lang w:val="en-US" w:eastAsia="zh-CN"/>
              </w:rPr>
              <w:t>，将液体丙烷经管道送至丙烷充灌排，通过充灌排的卡具装入液态气瓶内。具体工艺流程图如下：</w:t>
            </w:r>
          </w:p>
          <w:p w14:paraId="66139F5B">
            <w:pPr>
              <w:pStyle w:val="26"/>
              <w:bidi w:val="0"/>
              <w:rPr>
                <w:rFonts w:hint="eastAsia"/>
                <w:color w:val="auto"/>
                <w:lang w:val="en-US" w:eastAsia="zh-CN"/>
              </w:rPr>
            </w:pPr>
            <w:r>
              <w:rPr>
                <w:color w:val="auto"/>
              </w:rPr>
              <w:drawing>
                <wp:inline distT="0" distB="0" distL="114300" distR="114300">
                  <wp:extent cx="5517515" cy="1380490"/>
                  <wp:effectExtent l="9525" t="9525" r="16510" b="196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rcRect t="9656" b="6436"/>
                          <a:stretch>
                            <a:fillRect/>
                          </a:stretch>
                        </pic:blipFill>
                        <pic:spPr>
                          <a:xfrm>
                            <a:off x="0" y="0"/>
                            <a:ext cx="5517515" cy="138049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E8E8E34">
            <w:pPr>
              <w:pStyle w:val="26"/>
              <w:bidi w:val="0"/>
              <w:rPr>
                <w:rStyle w:val="28"/>
                <w:rFonts w:hint="eastAsia"/>
                <w:color w:val="auto"/>
                <w:lang w:val="en-US" w:eastAsia="zh-CN"/>
              </w:rPr>
            </w:pPr>
            <w:r>
              <w:rPr>
                <w:rStyle w:val="28"/>
                <w:rFonts w:hint="eastAsia"/>
                <w:color w:val="auto"/>
                <w:lang w:val="en-US" w:eastAsia="zh-CN"/>
              </w:rPr>
              <w:t>图5 丙烷充装工作流程及产污环节图</w:t>
            </w:r>
          </w:p>
          <w:p w14:paraId="425DD2F6">
            <w:pPr>
              <w:pStyle w:val="23"/>
              <w:bidi w:val="0"/>
              <w:rPr>
                <w:rFonts w:hint="eastAsia"/>
                <w:b/>
                <w:bCs/>
                <w:color w:val="auto"/>
                <w:lang w:val="en-US" w:eastAsia="zh-CN"/>
              </w:rPr>
            </w:pPr>
            <w:r>
              <w:rPr>
                <w:rFonts w:hint="eastAsia"/>
                <w:b/>
                <w:bCs/>
                <w:color w:val="auto"/>
                <w:lang w:val="en-US" w:eastAsia="zh-CN"/>
              </w:rPr>
              <w:t>具体工艺流程如下：</w:t>
            </w:r>
          </w:p>
          <w:p w14:paraId="03354A33">
            <w:pPr>
              <w:pStyle w:val="23"/>
              <w:bidi w:val="0"/>
              <w:rPr>
                <w:rFonts w:hint="eastAsia"/>
                <w:color w:val="auto"/>
                <w:lang w:val="en-US" w:eastAsia="zh-CN"/>
              </w:rPr>
            </w:pPr>
            <w:r>
              <w:rPr>
                <w:rFonts w:hint="eastAsia"/>
                <w:color w:val="auto"/>
                <w:lang w:val="en-US" w:eastAsia="zh-CN"/>
              </w:rPr>
              <w:t>丙烷的灌装生产工艺主要是卸车工艺和灌装工艺。</w:t>
            </w:r>
          </w:p>
          <w:p w14:paraId="716E8CB9">
            <w:pPr>
              <w:pStyle w:val="23"/>
              <w:bidi w:val="0"/>
              <w:rPr>
                <w:rFonts w:hint="eastAsia"/>
                <w:color w:val="auto"/>
                <w:lang w:val="en-US" w:eastAsia="zh-CN"/>
              </w:rPr>
            </w:pPr>
            <w:r>
              <w:rPr>
                <w:rFonts w:hint="eastAsia"/>
                <w:color w:val="auto"/>
                <w:lang w:val="en-US" w:eastAsia="zh-CN"/>
              </w:rPr>
              <w:t>卸车时，检查是否有滴漏现象，先将静电接地夹夹在槽车上。打开鹤管内臂锁紧机构，将臂从挂钩取下，移动臂到槽车罐口或法兰、快速接头或干式阀连接部位。操作外臂下落，使垂管完全插入槽车罐口（顶部敞开装卸车），或使外伸臂与槽车顶部或底部法兰或快速接头连接（顶部或底部密闭装车）。丙烷（气相）从储罐气相管经丙烷螺杆泵加压后经鹤管气相管到槽车，丙烷（液相）从鹤管液相流入储罐。</w:t>
            </w:r>
          </w:p>
          <w:p w14:paraId="7A72FDE0">
            <w:pPr>
              <w:pStyle w:val="23"/>
              <w:bidi w:val="0"/>
              <w:rPr>
                <w:rFonts w:hint="eastAsia" w:ascii="Times New Roman" w:hAnsi="Times New Roman" w:eastAsia="宋体" w:cs="Times New Roman"/>
                <w:color w:val="auto"/>
                <w:lang w:val="en-US" w:eastAsia="zh-CN"/>
              </w:rPr>
            </w:pPr>
            <w:r>
              <w:rPr>
                <w:rFonts w:hint="eastAsia"/>
                <w:color w:val="auto"/>
                <w:lang w:val="en-US" w:eastAsia="zh-CN"/>
              </w:rPr>
              <w:t>灌装前先对空瓶进行检查清瓶，对空瓶进行称量后，将管线连接到灌装枪上，液态丙烷经过滤器由储罐进入丙烷螺杆泵升压，丙烷螺杆泵出口管分为两路，一路至灌装台灌装钢瓶，另一路经回流管流回储罐。是为防止在罐瓶中超压或灌装结束而丙烷螺杆泵未停而准备的。灌装完的气瓶经检验合格，就可出库装车送至用户使用。</w:t>
            </w:r>
          </w:p>
          <w:p w14:paraId="2354E934">
            <w:pPr>
              <w:pStyle w:val="23"/>
              <w:bidi w:val="0"/>
              <w:rPr>
                <w:rFonts w:hint="default"/>
                <w:b/>
                <w:bCs/>
                <w:color w:val="auto"/>
                <w:lang w:val="en-US" w:eastAsia="zh-CN"/>
              </w:rPr>
            </w:pPr>
            <w:r>
              <w:rPr>
                <w:rFonts w:hint="eastAsia"/>
                <w:b/>
                <w:bCs/>
                <w:color w:val="auto"/>
                <w:lang w:val="en-US" w:eastAsia="zh-CN"/>
              </w:rPr>
              <w:t>本项目产污环节如下：</w:t>
            </w:r>
          </w:p>
          <w:p w14:paraId="6329C664">
            <w:pPr>
              <w:pStyle w:val="23"/>
              <w:numPr>
                <w:ilvl w:val="0"/>
                <w:numId w:val="3"/>
              </w:numPr>
              <w:bidi w:val="0"/>
              <w:rPr>
                <w:rFonts w:hint="eastAsia"/>
                <w:color w:val="auto"/>
                <w:lang w:val="en-US" w:eastAsia="zh-CN"/>
              </w:rPr>
            </w:pPr>
            <w:r>
              <w:rPr>
                <w:rFonts w:hint="eastAsia"/>
                <w:color w:val="auto"/>
                <w:lang w:val="en-US" w:eastAsia="zh-CN"/>
              </w:rPr>
              <w:t>废气</w:t>
            </w:r>
          </w:p>
          <w:p w14:paraId="45F5659F">
            <w:pPr>
              <w:pStyle w:val="23"/>
              <w:bidi w:val="0"/>
              <w:rPr>
                <w:rFonts w:hint="eastAsia"/>
                <w:color w:val="auto"/>
                <w:lang w:val="en-US" w:eastAsia="zh-CN"/>
              </w:rPr>
            </w:pPr>
            <w:r>
              <w:rPr>
                <w:rFonts w:hint="eastAsia"/>
                <w:color w:val="auto"/>
                <w:lang w:val="en-US" w:eastAsia="zh-CN"/>
              </w:rPr>
              <w:t>本项目运营期在转运及充装过程，会有少量丙烷气体逸出。</w:t>
            </w:r>
          </w:p>
          <w:p w14:paraId="287636F4">
            <w:pPr>
              <w:pStyle w:val="23"/>
              <w:numPr>
                <w:ilvl w:val="0"/>
                <w:numId w:val="3"/>
              </w:numPr>
              <w:bidi w:val="0"/>
              <w:rPr>
                <w:rFonts w:hint="default"/>
                <w:color w:val="auto"/>
                <w:lang w:val="en-US" w:eastAsia="zh-CN"/>
              </w:rPr>
            </w:pPr>
            <w:r>
              <w:rPr>
                <w:rFonts w:hint="eastAsia"/>
                <w:color w:val="auto"/>
                <w:lang w:val="en-US" w:eastAsia="zh-CN"/>
              </w:rPr>
              <w:t>废水</w:t>
            </w:r>
          </w:p>
          <w:p w14:paraId="0028A5AE">
            <w:pPr>
              <w:pStyle w:val="44"/>
              <w:bidi w:val="0"/>
              <w:rPr>
                <w:rFonts w:hint="default"/>
                <w:color w:val="auto"/>
              </w:rPr>
            </w:pPr>
            <w:r>
              <w:rPr>
                <w:rFonts w:hint="eastAsia"/>
                <w:color w:val="auto"/>
                <w:lang w:val="en-US" w:eastAsia="zh-CN"/>
              </w:rPr>
              <w:t>本</w:t>
            </w:r>
            <w:r>
              <w:rPr>
                <w:rFonts w:hint="default"/>
                <w:color w:val="auto"/>
              </w:rPr>
              <w:t>项目营运期产生的废水主要为生活污水。</w:t>
            </w:r>
          </w:p>
          <w:p w14:paraId="32239C3F">
            <w:pPr>
              <w:pStyle w:val="23"/>
              <w:numPr>
                <w:ilvl w:val="0"/>
                <w:numId w:val="3"/>
              </w:numPr>
              <w:bidi w:val="0"/>
              <w:rPr>
                <w:rFonts w:hint="default"/>
                <w:color w:val="auto"/>
                <w:lang w:val="en-US" w:eastAsia="zh-CN"/>
              </w:rPr>
            </w:pPr>
            <w:r>
              <w:rPr>
                <w:rFonts w:hint="eastAsia"/>
                <w:color w:val="auto"/>
                <w:lang w:val="en-US" w:eastAsia="zh-CN"/>
              </w:rPr>
              <w:t>噪声</w:t>
            </w:r>
          </w:p>
          <w:p w14:paraId="45334B26">
            <w:pPr>
              <w:pStyle w:val="23"/>
              <w:bidi w:val="0"/>
              <w:rPr>
                <w:rFonts w:hint="default"/>
                <w:color w:val="auto"/>
                <w:lang w:val="en-US" w:eastAsia="zh-CN"/>
              </w:rPr>
            </w:pPr>
            <w:r>
              <w:rPr>
                <w:rFonts w:hint="default"/>
                <w:color w:val="auto"/>
              </w:rPr>
              <w:t>项目营运期噪声主要为</w:t>
            </w:r>
            <w:r>
              <w:rPr>
                <w:rFonts w:hint="eastAsia"/>
                <w:color w:val="auto"/>
                <w:lang w:val="en-US" w:eastAsia="zh-CN"/>
              </w:rPr>
              <w:t>车辆进出时、搬运气瓶时、低温液体泵运行时</w:t>
            </w:r>
            <w:r>
              <w:rPr>
                <w:rFonts w:hint="default"/>
                <w:color w:val="auto"/>
              </w:rPr>
              <w:t>等产生的噪声，噪声源强75~</w:t>
            </w:r>
            <w:r>
              <w:rPr>
                <w:rFonts w:hint="eastAsia"/>
                <w:color w:val="auto"/>
                <w:lang w:val="en-US" w:eastAsia="zh-CN"/>
              </w:rPr>
              <w:t>85</w:t>
            </w:r>
            <w:r>
              <w:rPr>
                <w:rFonts w:hint="default"/>
                <w:color w:val="auto"/>
              </w:rPr>
              <w:t>dB(A)之间。</w:t>
            </w:r>
          </w:p>
          <w:p w14:paraId="5A3737ED">
            <w:pPr>
              <w:pStyle w:val="23"/>
              <w:numPr>
                <w:ilvl w:val="0"/>
                <w:numId w:val="3"/>
              </w:numPr>
              <w:bidi w:val="0"/>
              <w:rPr>
                <w:rFonts w:hint="default"/>
                <w:color w:val="auto"/>
                <w:lang w:val="en-US" w:eastAsia="zh-CN"/>
              </w:rPr>
            </w:pPr>
            <w:r>
              <w:rPr>
                <w:rFonts w:hint="eastAsia"/>
                <w:color w:val="auto"/>
                <w:lang w:val="en-US" w:eastAsia="zh-CN"/>
              </w:rPr>
              <w:t>固体废物</w:t>
            </w:r>
          </w:p>
          <w:p w14:paraId="38E05462">
            <w:pPr>
              <w:pStyle w:val="23"/>
              <w:bidi w:val="0"/>
              <w:rPr>
                <w:rFonts w:hint="default"/>
                <w:color w:val="auto"/>
                <w:lang w:val="en-US" w:eastAsia="zh-CN"/>
              </w:rPr>
            </w:pPr>
            <w:r>
              <w:rPr>
                <w:rFonts w:hint="eastAsia"/>
                <w:color w:val="auto"/>
                <w:lang w:val="en-US" w:eastAsia="zh-CN"/>
              </w:rPr>
              <w:t>本项目的固体废物主要为员工的生活垃圾、废钢瓶、废机油、残液。</w:t>
            </w:r>
          </w:p>
        </w:tc>
      </w:tr>
      <w:tr w14:paraId="0AC3C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noWrap w:val="0"/>
            <w:vAlign w:val="center"/>
          </w:tcPr>
          <w:p w14:paraId="1D941E50">
            <w:pPr>
              <w:pStyle w:val="15"/>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cs="Times New Roman"/>
                <w:bCs/>
                <w:color w:val="auto"/>
                <w:kern w:val="2"/>
                <w:sz w:val="24"/>
                <w:szCs w:val="24"/>
              </w:rPr>
            </w:pPr>
            <w:r>
              <w:rPr>
                <w:rFonts w:hint="default" w:ascii="Times New Roman" w:hAnsi="Times New Roman" w:cs="Times New Roman"/>
                <w:bCs/>
                <w:color w:val="auto"/>
                <w:kern w:val="2"/>
                <w:sz w:val="24"/>
                <w:szCs w:val="24"/>
              </w:rPr>
              <w:t>与项目有关的原有环境污染问题</w:t>
            </w:r>
          </w:p>
        </w:tc>
        <w:tc>
          <w:tcPr>
            <w:tcW w:w="8835" w:type="dxa"/>
            <w:noWrap w:val="0"/>
            <w:vAlign w:val="center"/>
          </w:tcPr>
          <w:p w14:paraId="76AD1879">
            <w:pPr>
              <w:pStyle w:val="23"/>
              <w:bidi w:val="0"/>
              <w:jc w:val="left"/>
              <w:rPr>
                <w:rFonts w:hint="eastAsia"/>
                <w:color w:val="auto"/>
                <w:lang w:val="en-US" w:eastAsia="zh-CN"/>
              </w:rPr>
            </w:pPr>
          </w:p>
          <w:p w14:paraId="0ACAE833">
            <w:pPr>
              <w:pStyle w:val="23"/>
              <w:bidi w:val="0"/>
              <w:jc w:val="left"/>
              <w:rPr>
                <w:rFonts w:hint="eastAsia"/>
                <w:color w:val="auto"/>
                <w:lang w:val="en-US" w:eastAsia="zh-CN"/>
              </w:rPr>
            </w:pPr>
          </w:p>
          <w:p w14:paraId="22FD4A58">
            <w:pPr>
              <w:pStyle w:val="23"/>
              <w:bidi w:val="0"/>
              <w:jc w:val="left"/>
              <w:rPr>
                <w:rFonts w:hint="eastAsia"/>
                <w:color w:val="auto"/>
                <w:lang w:val="en-US" w:eastAsia="zh-CN"/>
              </w:rPr>
            </w:pPr>
          </w:p>
          <w:p w14:paraId="1B9FE2AA">
            <w:pPr>
              <w:pStyle w:val="23"/>
              <w:bidi w:val="0"/>
              <w:ind w:left="0" w:leftChars="0" w:firstLine="0" w:firstLineChars="0"/>
              <w:jc w:val="left"/>
              <w:rPr>
                <w:rFonts w:hint="eastAsia"/>
                <w:color w:val="auto"/>
                <w:lang w:val="en-US" w:eastAsia="zh-CN"/>
              </w:rPr>
            </w:pPr>
          </w:p>
          <w:p w14:paraId="63219E1D">
            <w:pPr>
              <w:pStyle w:val="23"/>
              <w:bidi w:val="0"/>
              <w:jc w:val="left"/>
              <w:rPr>
                <w:rFonts w:hint="eastAsia"/>
                <w:color w:val="auto"/>
                <w:lang w:val="en-US" w:eastAsia="zh-CN"/>
              </w:rPr>
            </w:pPr>
          </w:p>
          <w:p w14:paraId="6543DF43">
            <w:pPr>
              <w:pStyle w:val="23"/>
              <w:bidi w:val="0"/>
              <w:jc w:val="left"/>
              <w:rPr>
                <w:rFonts w:hint="eastAsia"/>
                <w:color w:val="auto"/>
                <w:lang w:val="en-US" w:eastAsia="zh-CN"/>
              </w:rPr>
            </w:pPr>
          </w:p>
          <w:p w14:paraId="15BBBD4E">
            <w:pPr>
              <w:pStyle w:val="23"/>
              <w:bidi w:val="0"/>
              <w:jc w:val="left"/>
              <w:rPr>
                <w:rFonts w:hint="eastAsia"/>
                <w:color w:val="auto"/>
                <w:lang w:val="en-US" w:eastAsia="zh-CN"/>
              </w:rPr>
            </w:pPr>
          </w:p>
          <w:p w14:paraId="69C7BA0C">
            <w:pPr>
              <w:pStyle w:val="23"/>
              <w:bidi w:val="0"/>
              <w:jc w:val="left"/>
              <w:rPr>
                <w:rFonts w:hint="eastAsia"/>
                <w:color w:val="auto"/>
                <w:lang w:val="en-US" w:eastAsia="zh-CN"/>
              </w:rPr>
            </w:pPr>
          </w:p>
          <w:p w14:paraId="7AF03A7D">
            <w:pPr>
              <w:pStyle w:val="23"/>
              <w:bidi w:val="0"/>
              <w:jc w:val="left"/>
              <w:rPr>
                <w:rFonts w:hint="eastAsia"/>
                <w:color w:val="auto"/>
                <w:lang w:val="en-US" w:eastAsia="zh-CN"/>
              </w:rPr>
            </w:pPr>
          </w:p>
          <w:p w14:paraId="4AD25A5B">
            <w:pPr>
              <w:pStyle w:val="23"/>
              <w:bidi w:val="0"/>
              <w:jc w:val="left"/>
              <w:rPr>
                <w:rFonts w:hint="eastAsia"/>
                <w:color w:val="auto"/>
                <w:lang w:val="en-US" w:eastAsia="zh-CN"/>
              </w:rPr>
            </w:pPr>
          </w:p>
          <w:p w14:paraId="0E81901B">
            <w:pPr>
              <w:pStyle w:val="23"/>
              <w:bidi w:val="0"/>
              <w:jc w:val="left"/>
              <w:rPr>
                <w:rFonts w:hint="eastAsia"/>
                <w:color w:val="auto"/>
                <w:lang w:val="en-US" w:eastAsia="zh-CN"/>
              </w:rPr>
            </w:pPr>
          </w:p>
          <w:p w14:paraId="51E3B641">
            <w:pPr>
              <w:pStyle w:val="23"/>
              <w:bidi w:val="0"/>
              <w:jc w:val="left"/>
              <w:rPr>
                <w:rFonts w:hint="eastAsia"/>
                <w:color w:val="auto"/>
                <w:lang w:val="en-US" w:eastAsia="zh-CN"/>
              </w:rPr>
            </w:pPr>
          </w:p>
          <w:p w14:paraId="1EDE68F5">
            <w:pPr>
              <w:pStyle w:val="23"/>
              <w:bidi w:val="0"/>
              <w:jc w:val="left"/>
              <w:rPr>
                <w:rFonts w:hint="eastAsia"/>
                <w:color w:val="auto"/>
                <w:lang w:val="en-US" w:eastAsia="zh-CN"/>
              </w:rPr>
            </w:pPr>
          </w:p>
          <w:p w14:paraId="2639B922">
            <w:pPr>
              <w:pStyle w:val="23"/>
              <w:bidi w:val="0"/>
              <w:jc w:val="left"/>
              <w:rPr>
                <w:rFonts w:hint="eastAsia"/>
                <w:color w:val="auto"/>
                <w:lang w:val="en-US" w:eastAsia="zh-CN"/>
              </w:rPr>
            </w:pPr>
          </w:p>
          <w:p w14:paraId="5941C0C2">
            <w:pPr>
              <w:pStyle w:val="23"/>
              <w:bidi w:val="0"/>
              <w:jc w:val="left"/>
              <w:rPr>
                <w:rFonts w:hint="eastAsia"/>
                <w:color w:val="auto"/>
                <w:lang w:val="en-US" w:eastAsia="zh-CN"/>
              </w:rPr>
            </w:pPr>
          </w:p>
          <w:p w14:paraId="577EA1B4">
            <w:pPr>
              <w:pStyle w:val="23"/>
              <w:bidi w:val="0"/>
              <w:jc w:val="left"/>
              <w:rPr>
                <w:rFonts w:hint="eastAsia"/>
                <w:color w:val="auto"/>
                <w:lang w:val="en-US" w:eastAsia="zh-CN"/>
              </w:rPr>
            </w:pPr>
          </w:p>
          <w:p w14:paraId="039E8017">
            <w:pPr>
              <w:pStyle w:val="23"/>
              <w:bidi w:val="0"/>
              <w:jc w:val="left"/>
              <w:rPr>
                <w:rFonts w:hint="eastAsia"/>
                <w:color w:val="auto"/>
                <w:lang w:val="en-US" w:eastAsia="zh-CN"/>
              </w:rPr>
            </w:pPr>
          </w:p>
          <w:p w14:paraId="3C55E8E8">
            <w:pPr>
              <w:pStyle w:val="23"/>
              <w:bidi w:val="0"/>
              <w:jc w:val="left"/>
              <w:rPr>
                <w:rFonts w:hint="eastAsia"/>
                <w:color w:val="auto"/>
                <w:lang w:val="en-US" w:eastAsia="zh-CN"/>
              </w:rPr>
            </w:pPr>
            <w:r>
              <w:rPr>
                <w:rFonts w:hint="eastAsia"/>
                <w:color w:val="auto"/>
                <w:lang w:val="en-US" w:eastAsia="zh-CN"/>
              </w:rPr>
              <w:t>本项目虽为扩建项目，但本项目的用地、用水、排水等均为新建，故不存在与项目有关的原有环境污染问题。</w:t>
            </w:r>
          </w:p>
          <w:p w14:paraId="6B9ECC3E">
            <w:pPr>
              <w:pStyle w:val="23"/>
              <w:bidi w:val="0"/>
              <w:jc w:val="left"/>
              <w:rPr>
                <w:rFonts w:hint="eastAsia"/>
                <w:color w:val="auto"/>
                <w:lang w:val="en-US" w:eastAsia="zh-CN"/>
              </w:rPr>
            </w:pPr>
          </w:p>
          <w:p w14:paraId="13E1238A">
            <w:pPr>
              <w:pStyle w:val="23"/>
              <w:bidi w:val="0"/>
              <w:jc w:val="left"/>
              <w:rPr>
                <w:rFonts w:hint="eastAsia"/>
                <w:color w:val="auto"/>
                <w:lang w:val="en-US" w:eastAsia="zh-CN"/>
              </w:rPr>
            </w:pPr>
          </w:p>
          <w:p w14:paraId="38784FBB">
            <w:pPr>
              <w:pStyle w:val="23"/>
              <w:bidi w:val="0"/>
              <w:jc w:val="left"/>
              <w:rPr>
                <w:rFonts w:hint="eastAsia"/>
                <w:color w:val="auto"/>
                <w:lang w:val="en-US" w:eastAsia="zh-CN"/>
              </w:rPr>
            </w:pPr>
          </w:p>
          <w:p w14:paraId="52EDE161">
            <w:pPr>
              <w:pStyle w:val="23"/>
              <w:bidi w:val="0"/>
              <w:jc w:val="left"/>
              <w:rPr>
                <w:rFonts w:hint="eastAsia"/>
                <w:color w:val="auto"/>
                <w:lang w:val="en-US" w:eastAsia="zh-CN"/>
              </w:rPr>
            </w:pPr>
          </w:p>
          <w:p w14:paraId="1178C458">
            <w:pPr>
              <w:pStyle w:val="23"/>
              <w:bidi w:val="0"/>
              <w:jc w:val="left"/>
              <w:rPr>
                <w:rFonts w:hint="eastAsia"/>
                <w:color w:val="auto"/>
                <w:lang w:val="en-US" w:eastAsia="zh-CN"/>
              </w:rPr>
            </w:pPr>
          </w:p>
          <w:p w14:paraId="75DD70EC">
            <w:pPr>
              <w:pStyle w:val="23"/>
              <w:bidi w:val="0"/>
              <w:jc w:val="left"/>
              <w:rPr>
                <w:rFonts w:hint="eastAsia"/>
                <w:color w:val="auto"/>
                <w:lang w:val="en-US" w:eastAsia="zh-CN"/>
              </w:rPr>
            </w:pPr>
          </w:p>
          <w:p w14:paraId="70E8193F">
            <w:pPr>
              <w:pStyle w:val="23"/>
              <w:bidi w:val="0"/>
              <w:jc w:val="left"/>
              <w:rPr>
                <w:rFonts w:hint="eastAsia"/>
                <w:color w:val="auto"/>
                <w:lang w:val="en-US" w:eastAsia="zh-CN"/>
              </w:rPr>
            </w:pPr>
          </w:p>
          <w:p w14:paraId="5C83E1E3">
            <w:pPr>
              <w:pStyle w:val="23"/>
              <w:bidi w:val="0"/>
              <w:jc w:val="left"/>
              <w:rPr>
                <w:rFonts w:hint="eastAsia"/>
                <w:color w:val="auto"/>
                <w:lang w:val="en-US" w:eastAsia="zh-CN"/>
              </w:rPr>
            </w:pPr>
          </w:p>
          <w:p w14:paraId="6261EF70">
            <w:pPr>
              <w:pStyle w:val="23"/>
              <w:bidi w:val="0"/>
              <w:jc w:val="left"/>
              <w:rPr>
                <w:rFonts w:hint="eastAsia"/>
                <w:color w:val="auto"/>
                <w:lang w:val="en-US" w:eastAsia="zh-CN"/>
              </w:rPr>
            </w:pPr>
          </w:p>
          <w:p w14:paraId="2E69FA6F">
            <w:pPr>
              <w:pStyle w:val="23"/>
              <w:bidi w:val="0"/>
              <w:jc w:val="left"/>
              <w:rPr>
                <w:rFonts w:hint="eastAsia"/>
                <w:color w:val="auto"/>
                <w:lang w:val="en-US" w:eastAsia="zh-CN"/>
              </w:rPr>
            </w:pPr>
          </w:p>
          <w:p w14:paraId="0B9A0ED1">
            <w:pPr>
              <w:pStyle w:val="23"/>
              <w:bidi w:val="0"/>
              <w:jc w:val="left"/>
              <w:rPr>
                <w:rFonts w:hint="eastAsia"/>
                <w:color w:val="auto"/>
                <w:lang w:val="en-US" w:eastAsia="zh-CN"/>
              </w:rPr>
            </w:pPr>
          </w:p>
          <w:p w14:paraId="1C221876">
            <w:pPr>
              <w:pStyle w:val="23"/>
              <w:bidi w:val="0"/>
              <w:jc w:val="left"/>
              <w:rPr>
                <w:rFonts w:hint="eastAsia"/>
                <w:color w:val="auto"/>
                <w:lang w:val="en-US" w:eastAsia="zh-CN"/>
              </w:rPr>
            </w:pPr>
          </w:p>
          <w:p w14:paraId="6E9C6D0F">
            <w:pPr>
              <w:pStyle w:val="23"/>
              <w:bidi w:val="0"/>
              <w:jc w:val="left"/>
              <w:rPr>
                <w:rFonts w:hint="default"/>
                <w:color w:val="auto"/>
                <w:lang w:val="en-US" w:eastAsia="zh-CN"/>
              </w:rPr>
            </w:pPr>
          </w:p>
        </w:tc>
      </w:tr>
    </w:tbl>
    <w:p w14:paraId="1147C708">
      <w:pPr>
        <w:pStyle w:val="15"/>
        <w:jc w:val="center"/>
        <w:rPr>
          <w:rFonts w:hint="default" w:ascii="Times New Roman" w:hAnsi="Times New Roman" w:eastAsia="黑体" w:cs="Times New Roman"/>
          <w:snapToGrid w:val="0"/>
          <w:color w:val="auto"/>
          <w:sz w:val="36"/>
          <w:szCs w:val="36"/>
        </w:rPr>
        <w:sectPr>
          <w:pgSz w:w="11906" w:h="16838"/>
          <w:pgMar w:top="1417" w:right="1417" w:bottom="1417" w:left="1417" w:header="851" w:footer="851" w:gutter="0"/>
          <w:cols w:space="720" w:num="1"/>
          <w:docGrid w:linePitch="312" w:charSpace="0"/>
        </w:sectPr>
      </w:pPr>
    </w:p>
    <w:p w14:paraId="515881F1">
      <w:pPr>
        <w:pStyle w:val="15"/>
        <w:adjustRightInd w:val="0"/>
        <w:snapToGrid w:val="0"/>
        <w:spacing w:before="0" w:beforeAutospacing="0" w:after="0" w:afterAutospacing="0" w:line="14" w:lineRule="auto"/>
        <w:jc w:val="center"/>
        <w:outlineLvl w:val="0"/>
        <w:rPr>
          <w:rFonts w:hint="default" w:ascii="Times New Roman" w:hAnsi="Times New Roman" w:eastAsia="黑体" w:cs="Times New Roman"/>
          <w:snapToGrid w:val="0"/>
          <w:color w:val="auto"/>
          <w:sz w:val="30"/>
          <w:szCs w:val="30"/>
        </w:rPr>
      </w:pPr>
    </w:p>
    <w:p w14:paraId="2A9302D4">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三、区域环境质量现状、环境保护目标及评价标准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8745"/>
      </w:tblGrid>
      <w:tr w14:paraId="7E6B4D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540" w:type="dxa"/>
            <w:noWrap w:val="0"/>
            <w:vAlign w:val="center"/>
          </w:tcPr>
          <w:p w14:paraId="065BECE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48C68B9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749295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4D0AB5A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745" w:type="dxa"/>
            <w:noWrap w:val="0"/>
            <w:vAlign w:val="center"/>
          </w:tcPr>
          <w:p w14:paraId="7531A91F">
            <w:pPr>
              <w:pStyle w:val="23"/>
              <w:bidi w:val="0"/>
              <w:rPr>
                <w:rFonts w:hint="default"/>
                <w:b/>
                <w:bCs/>
                <w:color w:val="auto"/>
                <w:lang w:val="en-US" w:eastAsia="zh-CN"/>
              </w:rPr>
            </w:pPr>
            <w:r>
              <w:rPr>
                <w:rFonts w:hint="eastAsia"/>
                <w:b/>
                <w:bCs/>
                <w:color w:val="auto"/>
                <w:lang w:val="en-US" w:eastAsia="zh-CN"/>
              </w:rPr>
              <w:t>1、</w:t>
            </w:r>
            <w:r>
              <w:rPr>
                <w:rFonts w:hint="default"/>
                <w:b/>
                <w:bCs/>
                <w:color w:val="auto"/>
                <w:lang w:val="en-US" w:eastAsia="zh-CN"/>
              </w:rPr>
              <w:t>空气环境质量现状</w:t>
            </w:r>
          </w:p>
          <w:p w14:paraId="78671296">
            <w:pPr>
              <w:pStyle w:val="44"/>
              <w:bidi w:val="0"/>
              <w:rPr>
                <w:rFonts w:hint="default" w:ascii="Times New Roman" w:hAnsi="Times New Roman" w:cs="Times New Roman"/>
                <w:color w:val="auto"/>
              </w:rPr>
            </w:pPr>
            <w:r>
              <w:rPr>
                <w:rFonts w:hint="default" w:ascii="Times New Roman" w:hAnsi="Times New Roman" w:cs="Times New Roman"/>
                <w:color w:val="auto"/>
              </w:rPr>
              <w:t>（1）区域常规因子现状评价</w:t>
            </w:r>
          </w:p>
          <w:p w14:paraId="2D679246">
            <w:pPr>
              <w:pStyle w:val="44"/>
              <w:bidi w:val="0"/>
              <w:rPr>
                <w:rFonts w:hint="default" w:ascii="Times New Roman" w:hAnsi="Times New Roman" w:cs="Times New Roman"/>
                <w:color w:val="auto"/>
              </w:rPr>
            </w:pPr>
            <w:r>
              <w:rPr>
                <w:rFonts w:hint="default" w:ascii="Times New Roman" w:hAnsi="Times New Roman" w:cs="Times New Roman"/>
                <w:color w:val="auto"/>
              </w:rPr>
              <w:t>本项目建设地点位于宁夏回族自治区固原市</w:t>
            </w:r>
            <w:r>
              <w:rPr>
                <w:rFonts w:hint="eastAsia" w:cs="Times New Roman"/>
                <w:color w:val="auto"/>
                <w:lang w:val="en-US" w:eastAsia="zh-CN"/>
              </w:rPr>
              <w:t>经济开发区内</w:t>
            </w:r>
            <w:r>
              <w:rPr>
                <w:rFonts w:hint="default" w:ascii="Times New Roman" w:hAnsi="Times New Roman" w:cs="Times New Roman"/>
                <w:color w:val="auto"/>
              </w:rPr>
              <w:t>，项目区域环境空气质量现状引用《</w:t>
            </w:r>
            <w:r>
              <w:rPr>
                <w:rFonts w:hint="default" w:ascii="Times New Roman" w:hAnsi="Times New Roman" w:cs="Times New Roman"/>
                <w:color w:val="auto"/>
                <w:lang w:val="en-US" w:eastAsia="zh-CN"/>
              </w:rPr>
              <w:t>202</w:t>
            </w:r>
            <w:r>
              <w:rPr>
                <w:rFonts w:hint="eastAsia" w:cs="Times New Roman"/>
                <w:color w:val="auto"/>
                <w:lang w:val="en-US" w:eastAsia="zh-CN"/>
              </w:rPr>
              <w:t>3</w:t>
            </w:r>
            <w:r>
              <w:rPr>
                <w:rFonts w:hint="default" w:ascii="Times New Roman" w:hAnsi="Times New Roman" w:cs="Times New Roman"/>
                <w:color w:val="auto"/>
                <w:lang w:val="en-US" w:eastAsia="zh-CN"/>
              </w:rPr>
              <w:t>年宁夏生态环境质量状况</w:t>
            </w:r>
            <w:r>
              <w:rPr>
                <w:rFonts w:hint="default" w:ascii="Times New Roman" w:hAnsi="Times New Roman" w:cs="Times New Roman"/>
                <w:color w:val="auto"/>
              </w:rPr>
              <w:t>》中公布的</w:t>
            </w:r>
            <w:r>
              <w:rPr>
                <w:rFonts w:hint="eastAsia" w:cs="Times New Roman"/>
                <w:color w:val="auto"/>
                <w:lang w:val="en-US" w:eastAsia="zh-CN"/>
              </w:rPr>
              <w:t>原州区</w:t>
            </w:r>
            <w:r>
              <w:rPr>
                <w:rFonts w:hint="default" w:ascii="Times New Roman" w:hAnsi="Times New Roman" w:cs="Times New Roman"/>
                <w:color w:val="auto"/>
              </w:rPr>
              <w:t>的监测数据对项目达标区判定。项目所在区域公布的环境空气质量现状评价具体见表</w:t>
            </w:r>
            <w:r>
              <w:rPr>
                <w:rFonts w:hint="eastAsia" w:cs="Times New Roman"/>
                <w:color w:val="auto"/>
                <w:lang w:val="en-US" w:eastAsia="zh-CN"/>
              </w:rPr>
              <w:t>3-1</w:t>
            </w:r>
            <w:r>
              <w:rPr>
                <w:rFonts w:hint="default" w:ascii="Times New Roman" w:hAnsi="Times New Roman" w:cs="Times New Roman"/>
                <w:color w:val="auto"/>
              </w:rPr>
              <w:t>。</w:t>
            </w:r>
          </w:p>
          <w:p w14:paraId="2129D163">
            <w:pPr>
              <w:pStyle w:val="25"/>
              <w:bidi w:val="0"/>
              <w:rPr>
                <w:rFonts w:hint="default" w:eastAsia="楷体"/>
                <w:color w:val="auto"/>
                <w:lang w:val="en-US" w:eastAsia="zh-CN"/>
              </w:rPr>
            </w:pPr>
            <w:r>
              <w:rPr>
                <w:rFonts w:hint="default"/>
                <w:color w:val="auto"/>
              </w:rPr>
              <w:t>表</w:t>
            </w:r>
            <w:r>
              <w:rPr>
                <w:rFonts w:hint="eastAsia"/>
                <w:color w:val="auto"/>
                <w:lang w:val="en-US" w:eastAsia="zh-CN"/>
              </w:rPr>
              <w:t>3-1</w:t>
            </w:r>
            <w:r>
              <w:rPr>
                <w:rFonts w:hint="default"/>
                <w:color w:val="auto"/>
              </w:rPr>
              <w:t xml:space="preserve"> </w:t>
            </w:r>
            <w:r>
              <w:rPr>
                <w:rFonts w:hint="eastAsia"/>
                <w:color w:val="auto"/>
                <w:lang w:val="en-US" w:eastAsia="zh-CN"/>
              </w:rPr>
              <w:t xml:space="preserve">           </w:t>
            </w:r>
            <w:r>
              <w:rPr>
                <w:rFonts w:hint="default"/>
                <w:color w:val="auto"/>
              </w:rPr>
              <w:t xml:space="preserve"> 区域公布的环境空气质量现状评价表</w:t>
            </w:r>
            <w:r>
              <w:rPr>
                <w:rFonts w:hint="eastAsia"/>
                <w:color w:val="auto"/>
                <w:lang w:val="en-US" w:eastAsia="zh-CN"/>
              </w:rPr>
              <w:t xml:space="preserve">      单位：</w:t>
            </w:r>
            <w:r>
              <w:rPr>
                <w:rFonts w:hint="default" w:ascii="Times New Roman" w:hAnsi="Times New Roman" w:cs="Times New Roman"/>
                <w:color w:val="auto"/>
                <w:lang w:val="en-US" w:eastAsia="zh-CN"/>
              </w:rPr>
              <w:t>μg</w:t>
            </w:r>
            <w:r>
              <w:rPr>
                <w:rFonts w:hint="eastAsia"/>
                <w:color w:val="auto"/>
                <w:lang w:val="en-US" w:eastAsia="zh-CN"/>
              </w:rPr>
              <w:t>/m</w:t>
            </w:r>
            <w:r>
              <w:rPr>
                <w:rFonts w:hint="eastAsia"/>
                <w:color w:val="auto"/>
                <w:vertAlign w:val="superscript"/>
                <w:lang w:val="en-US" w:eastAsia="zh-CN"/>
              </w:rPr>
              <w:t>3</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53"/>
              <w:gridCol w:w="2755"/>
              <w:gridCol w:w="1192"/>
              <w:gridCol w:w="1293"/>
              <w:gridCol w:w="1005"/>
              <w:gridCol w:w="1054"/>
            </w:tblGrid>
            <w:tr w14:paraId="2168C9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7D3CA038">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2755" w:type="dxa"/>
                  <w:noWrap w:val="0"/>
                  <w:vAlign w:val="center"/>
                </w:tcPr>
                <w:p w14:paraId="759F8ACB">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评价指标</w:t>
                  </w:r>
                </w:p>
              </w:tc>
              <w:tc>
                <w:tcPr>
                  <w:tcW w:w="1192" w:type="dxa"/>
                  <w:noWrap w:val="0"/>
                  <w:vAlign w:val="center"/>
                </w:tcPr>
                <w:p w14:paraId="6CEBFE2F">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现状浓度</w:t>
                  </w:r>
                </w:p>
              </w:tc>
              <w:tc>
                <w:tcPr>
                  <w:tcW w:w="1293" w:type="dxa"/>
                  <w:noWrap w:val="0"/>
                  <w:vAlign w:val="center"/>
                </w:tcPr>
                <w:p w14:paraId="0A71CAC4">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标准值</w:t>
                  </w:r>
                </w:p>
              </w:tc>
              <w:tc>
                <w:tcPr>
                  <w:tcW w:w="1005" w:type="dxa"/>
                  <w:noWrap w:val="0"/>
                  <w:vAlign w:val="center"/>
                </w:tcPr>
                <w:p w14:paraId="749F1F60">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占标率（%）</w:t>
                  </w:r>
                </w:p>
              </w:tc>
              <w:tc>
                <w:tcPr>
                  <w:tcW w:w="1054" w:type="dxa"/>
                  <w:noWrap w:val="0"/>
                  <w:vAlign w:val="center"/>
                </w:tcPr>
                <w:p w14:paraId="4A2E4327">
                  <w:pPr>
                    <w:pStyle w:val="24"/>
                    <w:bidi w:val="0"/>
                    <w:jc w:val="center"/>
                    <w:rPr>
                      <w:rFonts w:ascii="Times New Roman" w:hAnsi="Times New Roman" w:eastAsia="宋体" w:cs="Times New Roman"/>
                      <w:b/>
                      <w:bCs/>
                      <w:color w:val="auto"/>
                    </w:rPr>
                  </w:pPr>
                  <w:r>
                    <w:rPr>
                      <w:rFonts w:ascii="Times New Roman" w:hAnsi="Times New Roman" w:eastAsia="宋体" w:cs="Times New Roman"/>
                      <w:b/>
                      <w:bCs/>
                      <w:color w:val="auto"/>
                    </w:rPr>
                    <w:t>达标情况</w:t>
                  </w:r>
                </w:p>
              </w:tc>
            </w:tr>
            <w:tr w14:paraId="4258049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2165F9FC">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PM10</w:t>
                  </w:r>
                </w:p>
              </w:tc>
              <w:tc>
                <w:tcPr>
                  <w:tcW w:w="2755" w:type="dxa"/>
                  <w:noWrap w:val="0"/>
                  <w:vAlign w:val="center"/>
                </w:tcPr>
                <w:p w14:paraId="282B0D73">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年平均</w:t>
                  </w:r>
                </w:p>
              </w:tc>
              <w:tc>
                <w:tcPr>
                  <w:tcW w:w="1192" w:type="dxa"/>
                  <w:noWrap w:val="0"/>
                  <w:vAlign w:val="center"/>
                </w:tcPr>
                <w:p w14:paraId="4D12F3A3">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48</w:t>
                  </w:r>
                </w:p>
              </w:tc>
              <w:tc>
                <w:tcPr>
                  <w:tcW w:w="1293" w:type="dxa"/>
                  <w:noWrap w:val="0"/>
                  <w:vAlign w:val="center"/>
                </w:tcPr>
                <w:p w14:paraId="645D3C53">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70</w:t>
                  </w:r>
                </w:p>
              </w:tc>
              <w:tc>
                <w:tcPr>
                  <w:tcW w:w="1005" w:type="dxa"/>
                  <w:noWrap w:val="0"/>
                  <w:vAlign w:val="center"/>
                </w:tcPr>
                <w:p w14:paraId="5B93F03F">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68.57</w:t>
                  </w:r>
                </w:p>
              </w:tc>
              <w:tc>
                <w:tcPr>
                  <w:tcW w:w="1054" w:type="dxa"/>
                  <w:noWrap w:val="0"/>
                  <w:vAlign w:val="center"/>
                </w:tcPr>
                <w:p w14:paraId="428331EF">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16EEFF7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012A5762">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PM2.5</w:t>
                  </w:r>
                </w:p>
              </w:tc>
              <w:tc>
                <w:tcPr>
                  <w:tcW w:w="2755" w:type="dxa"/>
                  <w:noWrap w:val="0"/>
                  <w:vAlign w:val="center"/>
                </w:tcPr>
                <w:p w14:paraId="01116C07">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年平均</w:t>
                  </w:r>
                </w:p>
              </w:tc>
              <w:tc>
                <w:tcPr>
                  <w:tcW w:w="1192" w:type="dxa"/>
                  <w:noWrap w:val="0"/>
                  <w:vAlign w:val="center"/>
                </w:tcPr>
                <w:p w14:paraId="44F3127A">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22</w:t>
                  </w:r>
                </w:p>
              </w:tc>
              <w:tc>
                <w:tcPr>
                  <w:tcW w:w="1293" w:type="dxa"/>
                  <w:noWrap w:val="0"/>
                  <w:vAlign w:val="center"/>
                </w:tcPr>
                <w:p w14:paraId="34219037">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35</w:t>
                  </w:r>
                </w:p>
              </w:tc>
              <w:tc>
                <w:tcPr>
                  <w:tcW w:w="1005" w:type="dxa"/>
                  <w:noWrap w:val="0"/>
                  <w:vAlign w:val="center"/>
                </w:tcPr>
                <w:p w14:paraId="6D655889">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62.86</w:t>
                  </w:r>
                </w:p>
              </w:tc>
              <w:tc>
                <w:tcPr>
                  <w:tcW w:w="1054" w:type="dxa"/>
                  <w:noWrap w:val="0"/>
                  <w:vAlign w:val="center"/>
                </w:tcPr>
                <w:p w14:paraId="0B35D70C">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105AFD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482FD19E">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SO2</w:t>
                  </w:r>
                </w:p>
              </w:tc>
              <w:tc>
                <w:tcPr>
                  <w:tcW w:w="2755" w:type="dxa"/>
                  <w:noWrap w:val="0"/>
                  <w:vAlign w:val="center"/>
                </w:tcPr>
                <w:p w14:paraId="1FF154C8">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年平均</w:t>
                  </w:r>
                </w:p>
              </w:tc>
              <w:tc>
                <w:tcPr>
                  <w:tcW w:w="1192" w:type="dxa"/>
                  <w:noWrap w:val="0"/>
                  <w:vAlign w:val="center"/>
                </w:tcPr>
                <w:p w14:paraId="238B025B">
                  <w:pPr>
                    <w:pStyle w:val="24"/>
                    <w:bidi w:val="0"/>
                    <w:jc w:val="center"/>
                    <w:rPr>
                      <w:rFonts w:hint="eastAsia" w:ascii="Times New Roman" w:hAnsi="Times New Roman" w:eastAsia="宋体" w:cs="Times New Roman"/>
                      <w:color w:val="auto"/>
                    </w:rPr>
                  </w:pPr>
                  <w:r>
                    <w:rPr>
                      <w:rFonts w:hint="eastAsia" w:ascii="Times New Roman" w:hAnsi="Times New Roman" w:eastAsia="宋体" w:cs="Times New Roman"/>
                      <w:color w:val="auto"/>
                    </w:rPr>
                    <w:t>6</w:t>
                  </w:r>
                </w:p>
              </w:tc>
              <w:tc>
                <w:tcPr>
                  <w:tcW w:w="1293" w:type="dxa"/>
                  <w:noWrap w:val="0"/>
                  <w:vAlign w:val="center"/>
                </w:tcPr>
                <w:p w14:paraId="6DD77D36">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60</w:t>
                  </w:r>
                </w:p>
              </w:tc>
              <w:tc>
                <w:tcPr>
                  <w:tcW w:w="1005" w:type="dxa"/>
                  <w:noWrap w:val="0"/>
                  <w:vAlign w:val="center"/>
                </w:tcPr>
                <w:p w14:paraId="2BE6F541">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10.00</w:t>
                  </w:r>
                </w:p>
              </w:tc>
              <w:tc>
                <w:tcPr>
                  <w:tcW w:w="1054" w:type="dxa"/>
                  <w:noWrap w:val="0"/>
                  <w:vAlign w:val="center"/>
                </w:tcPr>
                <w:p w14:paraId="755FE3EA">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7ECEDE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20241FB2">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NO2</w:t>
                  </w:r>
                </w:p>
              </w:tc>
              <w:tc>
                <w:tcPr>
                  <w:tcW w:w="2755" w:type="dxa"/>
                  <w:noWrap w:val="0"/>
                  <w:vAlign w:val="center"/>
                </w:tcPr>
                <w:p w14:paraId="090490AD">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年平均</w:t>
                  </w:r>
                </w:p>
              </w:tc>
              <w:tc>
                <w:tcPr>
                  <w:tcW w:w="1192" w:type="dxa"/>
                  <w:noWrap w:val="0"/>
                  <w:vAlign w:val="center"/>
                </w:tcPr>
                <w:p w14:paraId="2123EB66">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18</w:t>
                  </w:r>
                </w:p>
              </w:tc>
              <w:tc>
                <w:tcPr>
                  <w:tcW w:w="1293" w:type="dxa"/>
                  <w:noWrap w:val="0"/>
                  <w:vAlign w:val="center"/>
                </w:tcPr>
                <w:p w14:paraId="137131ED">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40</w:t>
                  </w:r>
                </w:p>
              </w:tc>
              <w:tc>
                <w:tcPr>
                  <w:tcW w:w="1005" w:type="dxa"/>
                  <w:noWrap w:val="0"/>
                  <w:vAlign w:val="center"/>
                </w:tcPr>
                <w:p w14:paraId="4010922F">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45.00</w:t>
                  </w:r>
                </w:p>
              </w:tc>
              <w:tc>
                <w:tcPr>
                  <w:tcW w:w="1054" w:type="dxa"/>
                  <w:noWrap w:val="0"/>
                  <w:vAlign w:val="center"/>
                </w:tcPr>
                <w:p w14:paraId="68228A6A">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4386A6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374651B6">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CO</w:t>
                  </w:r>
                </w:p>
              </w:tc>
              <w:tc>
                <w:tcPr>
                  <w:tcW w:w="2755" w:type="dxa"/>
                  <w:noWrap w:val="0"/>
                  <w:vAlign w:val="center"/>
                </w:tcPr>
                <w:p w14:paraId="3262FA62">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24小时平均第95百分位数</w:t>
                  </w:r>
                </w:p>
              </w:tc>
              <w:tc>
                <w:tcPr>
                  <w:tcW w:w="1192" w:type="dxa"/>
                  <w:noWrap w:val="0"/>
                  <w:vAlign w:val="center"/>
                </w:tcPr>
                <w:p w14:paraId="14C12A23">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1.0</w:t>
                  </w:r>
                  <w:r>
                    <w:rPr>
                      <w:rFonts w:ascii="Times New Roman" w:hAnsi="Times New Roman" w:eastAsia="宋体" w:cs="Times New Roman"/>
                      <w:color w:val="auto"/>
                    </w:rPr>
                    <w:t>mg/m</w:t>
                  </w:r>
                  <w:r>
                    <w:rPr>
                      <w:rFonts w:ascii="Times New Roman" w:hAnsi="Times New Roman" w:eastAsia="宋体" w:cs="Times New Roman"/>
                      <w:color w:val="auto"/>
                      <w:vertAlign w:val="superscript"/>
                    </w:rPr>
                    <w:t>3</w:t>
                  </w:r>
                </w:p>
              </w:tc>
              <w:tc>
                <w:tcPr>
                  <w:tcW w:w="1293" w:type="dxa"/>
                  <w:noWrap w:val="0"/>
                  <w:vAlign w:val="center"/>
                </w:tcPr>
                <w:p w14:paraId="5CDCA7D2">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4.0mg/m</w:t>
                  </w:r>
                  <w:r>
                    <w:rPr>
                      <w:rFonts w:ascii="Times New Roman" w:hAnsi="Times New Roman" w:eastAsia="宋体" w:cs="Times New Roman"/>
                      <w:color w:val="auto"/>
                      <w:vertAlign w:val="superscript"/>
                    </w:rPr>
                    <w:t>3</w:t>
                  </w:r>
                </w:p>
              </w:tc>
              <w:tc>
                <w:tcPr>
                  <w:tcW w:w="1005" w:type="dxa"/>
                  <w:noWrap w:val="0"/>
                  <w:vAlign w:val="center"/>
                </w:tcPr>
                <w:p w14:paraId="4D67D120">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25.00</w:t>
                  </w:r>
                </w:p>
              </w:tc>
              <w:tc>
                <w:tcPr>
                  <w:tcW w:w="1054" w:type="dxa"/>
                  <w:noWrap w:val="0"/>
                  <w:vAlign w:val="center"/>
                </w:tcPr>
                <w:p w14:paraId="3806FE4F">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r w14:paraId="00E3CD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53" w:type="dxa"/>
                  <w:noWrap w:val="0"/>
                  <w:vAlign w:val="center"/>
                </w:tcPr>
                <w:p w14:paraId="35785462">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O3</w:t>
                  </w:r>
                </w:p>
              </w:tc>
              <w:tc>
                <w:tcPr>
                  <w:tcW w:w="2755" w:type="dxa"/>
                  <w:noWrap w:val="0"/>
                  <w:vAlign w:val="center"/>
                </w:tcPr>
                <w:p w14:paraId="318C19AC">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日最大8小时第90百分位数</w:t>
                  </w:r>
                </w:p>
              </w:tc>
              <w:tc>
                <w:tcPr>
                  <w:tcW w:w="1192" w:type="dxa"/>
                  <w:noWrap w:val="0"/>
                  <w:vAlign w:val="center"/>
                </w:tcPr>
                <w:p w14:paraId="2CAE77A8">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131</w:t>
                  </w:r>
                </w:p>
              </w:tc>
              <w:tc>
                <w:tcPr>
                  <w:tcW w:w="1293" w:type="dxa"/>
                  <w:noWrap w:val="0"/>
                  <w:vAlign w:val="center"/>
                </w:tcPr>
                <w:p w14:paraId="5C21C69A">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160</w:t>
                  </w:r>
                </w:p>
              </w:tc>
              <w:tc>
                <w:tcPr>
                  <w:tcW w:w="1005" w:type="dxa"/>
                  <w:noWrap w:val="0"/>
                  <w:vAlign w:val="center"/>
                </w:tcPr>
                <w:p w14:paraId="689A7C0E">
                  <w:pPr>
                    <w:pStyle w:val="24"/>
                    <w:bidi w:val="0"/>
                    <w:jc w:val="center"/>
                    <w:rPr>
                      <w:rFonts w:ascii="Times New Roman" w:hAnsi="Times New Roman" w:eastAsia="宋体" w:cs="Times New Roman"/>
                      <w:color w:val="auto"/>
                    </w:rPr>
                  </w:pPr>
                  <w:r>
                    <w:rPr>
                      <w:rFonts w:hint="eastAsia" w:ascii="Times New Roman" w:hAnsi="Times New Roman" w:eastAsia="宋体" w:cs="Times New Roman"/>
                      <w:color w:val="auto"/>
                    </w:rPr>
                    <w:t>81.88</w:t>
                  </w:r>
                </w:p>
              </w:tc>
              <w:tc>
                <w:tcPr>
                  <w:tcW w:w="1054" w:type="dxa"/>
                  <w:noWrap w:val="0"/>
                  <w:vAlign w:val="center"/>
                </w:tcPr>
                <w:p w14:paraId="2BF37CFF">
                  <w:pPr>
                    <w:pStyle w:val="24"/>
                    <w:bidi w:val="0"/>
                    <w:jc w:val="center"/>
                    <w:rPr>
                      <w:rFonts w:ascii="Times New Roman" w:hAnsi="Times New Roman" w:eastAsia="宋体" w:cs="Times New Roman"/>
                      <w:color w:val="auto"/>
                    </w:rPr>
                  </w:pPr>
                  <w:r>
                    <w:rPr>
                      <w:rFonts w:ascii="Times New Roman" w:hAnsi="Times New Roman" w:eastAsia="宋体" w:cs="Times New Roman"/>
                      <w:color w:val="auto"/>
                    </w:rPr>
                    <w:t>达标</w:t>
                  </w:r>
                </w:p>
              </w:tc>
            </w:tr>
          </w:tbl>
          <w:p w14:paraId="2A4CF58D">
            <w:pPr>
              <w:pStyle w:val="44"/>
              <w:bidi w:val="0"/>
              <w:rPr>
                <w:rFonts w:hint="default" w:ascii="Times New Roman" w:hAnsi="Times New Roman" w:eastAsia="宋体" w:cs="Times New Roman"/>
                <w:color w:val="auto"/>
              </w:rPr>
            </w:pPr>
            <w:r>
              <w:rPr>
                <w:rFonts w:hint="default" w:ascii="Times New Roman" w:hAnsi="Times New Roman" w:cs="Times New Roman"/>
                <w:color w:val="auto"/>
              </w:rPr>
              <w:t>由上表可知，20</w:t>
            </w:r>
            <w:r>
              <w:rPr>
                <w:rFonts w:hint="eastAsia" w:cs="Times New Roman"/>
                <w:color w:val="auto"/>
                <w:lang w:val="en-US" w:eastAsia="zh-CN"/>
              </w:rPr>
              <w:t>23</w:t>
            </w:r>
            <w:r>
              <w:rPr>
                <w:rFonts w:hint="default" w:ascii="Times New Roman" w:hAnsi="Times New Roman" w:cs="Times New Roman"/>
                <w:color w:val="auto"/>
              </w:rPr>
              <w:t>年</w:t>
            </w:r>
            <w:r>
              <w:rPr>
                <w:rFonts w:hint="eastAsia" w:cs="Times New Roman"/>
                <w:color w:val="auto"/>
                <w:lang w:val="en-US" w:eastAsia="zh-CN"/>
              </w:rPr>
              <w:t>原州区</w:t>
            </w:r>
            <w:r>
              <w:rPr>
                <w:rFonts w:hint="default" w:ascii="Times New Roman" w:hAnsi="Times New Roman" w:cs="Times New Roman"/>
                <w:color w:val="auto"/>
              </w:rPr>
              <w:t>大气环境中PM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、CO、O</w:t>
            </w:r>
            <w:r>
              <w:rPr>
                <w:rFonts w:hint="default" w:ascii="Times New Roman" w:hAnsi="Times New Roman" w:cs="Times New Roman"/>
                <w:color w:val="auto"/>
                <w:vertAlign w:val="subscript"/>
              </w:rPr>
              <w:t>3</w:t>
            </w:r>
            <w:r>
              <w:rPr>
                <w:rFonts w:hint="default" w:ascii="Times New Roman" w:hAnsi="Times New Roman" w:cs="Times New Roman"/>
                <w:color w:val="auto"/>
              </w:rPr>
              <w:t>环境监测数据均符合《环境空气质量标准》（GB3095-2012及修改单）表1中二级标准限值要求。</w:t>
            </w:r>
          </w:p>
          <w:p w14:paraId="4AE60DD8">
            <w:pPr>
              <w:pStyle w:val="44"/>
              <w:bidi w:val="0"/>
              <w:rPr>
                <w:rFonts w:hint="eastAsia" w:cs="Times New Roman"/>
                <w:color w:val="auto"/>
                <w:lang w:val="en-US"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w:t>
            </w:r>
            <w:r>
              <w:rPr>
                <w:rFonts w:hint="eastAsia" w:cs="Times New Roman"/>
                <w:color w:val="auto"/>
                <w:lang w:val="en-US" w:eastAsia="zh-CN"/>
              </w:rPr>
              <w:t>特征污染物</w:t>
            </w:r>
          </w:p>
          <w:p w14:paraId="2741A033">
            <w:pPr>
              <w:pStyle w:val="44"/>
              <w:bidi w:val="0"/>
              <w:rPr>
                <w:rFonts w:hint="eastAsia" w:cs="Times New Roman"/>
                <w:color w:val="auto"/>
                <w:lang w:val="en-US" w:eastAsia="zh-CN"/>
              </w:rPr>
            </w:pPr>
            <w:r>
              <w:rPr>
                <w:rFonts w:hint="eastAsia" w:cs="Times New Roman"/>
                <w:color w:val="auto"/>
                <w:lang w:val="en-US" w:eastAsia="zh-CN"/>
              </w:rPr>
              <w:t>本项目特征污染物主要为非甲烷总烃，根据《宁夏固原经济开发区“一区三园”总体规划修编（2022-2035 年）环境影响报告书》中对新材料产业园于2022年12月16日-22日进行的环境空气现状补充监测。详细情况如下：</w:t>
            </w:r>
          </w:p>
          <w:p w14:paraId="40B1D6C4">
            <w:pPr>
              <w:pStyle w:val="25"/>
              <w:bidi w:val="0"/>
              <w:rPr>
                <w:rFonts w:hint="eastAsia"/>
                <w:lang w:val="en-US" w:eastAsia="zh-CN"/>
              </w:rPr>
            </w:pPr>
            <w:r>
              <w:rPr>
                <w:rFonts w:hint="eastAsia"/>
                <w:lang w:val="en-US" w:eastAsia="zh-CN"/>
              </w:rPr>
              <w:t>表3-2                 环境空气现状补充监测频次</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6"/>
              <w:gridCol w:w="1110"/>
              <w:gridCol w:w="1290"/>
              <w:gridCol w:w="1605"/>
              <w:gridCol w:w="2859"/>
            </w:tblGrid>
            <w:tr w14:paraId="32B9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6" w:type="dxa"/>
                  <w:vAlign w:val="center"/>
                </w:tcPr>
                <w:p w14:paraId="39793268">
                  <w:pPr>
                    <w:pStyle w:val="24"/>
                    <w:bidi w:val="0"/>
                    <w:jc w:val="center"/>
                    <w:rPr>
                      <w:rFonts w:hint="default"/>
                      <w:b/>
                      <w:bCs/>
                      <w:lang w:val="en-US" w:eastAsia="zh-CN"/>
                    </w:rPr>
                  </w:pPr>
                  <w:r>
                    <w:rPr>
                      <w:rFonts w:hint="eastAsia"/>
                      <w:b/>
                      <w:bCs/>
                      <w:lang w:val="en-US" w:eastAsia="zh-CN"/>
                    </w:rPr>
                    <w:t>监测时间</w:t>
                  </w:r>
                </w:p>
              </w:tc>
              <w:tc>
                <w:tcPr>
                  <w:tcW w:w="1110" w:type="dxa"/>
                  <w:vAlign w:val="center"/>
                </w:tcPr>
                <w:p w14:paraId="4A4E87CF">
                  <w:pPr>
                    <w:pStyle w:val="24"/>
                    <w:bidi w:val="0"/>
                    <w:jc w:val="center"/>
                    <w:rPr>
                      <w:rFonts w:hint="default"/>
                      <w:b/>
                      <w:bCs/>
                      <w:lang w:val="en-US" w:eastAsia="zh-CN"/>
                    </w:rPr>
                  </w:pPr>
                  <w:r>
                    <w:rPr>
                      <w:rFonts w:hint="eastAsia"/>
                      <w:b/>
                      <w:bCs/>
                      <w:lang w:val="en-US" w:eastAsia="zh-CN"/>
                    </w:rPr>
                    <w:t>监测因子</w:t>
                  </w:r>
                </w:p>
              </w:tc>
              <w:tc>
                <w:tcPr>
                  <w:tcW w:w="1290" w:type="dxa"/>
                  <w:vAlign w:val="center"/>
                </w:tcPr>
                <w:p w14:paraId="19355FBE">
                  <w:pPr>
                    <w:pStyle w:val="24"/>
                    <w:bidi w:val="0"/>
                    <w:jc w:val="center"/>
                    <w:rPr>
                      <w:rFonts w:hint="default"/>
                      <w:b/>
                      <w:bCs/>
                      <w:lang w:val="en-US" w:eastAsia="zh-CN"/>
                    </w:rPr>
                  </w:pPr>
                  <w:r>
                    <w:rPr>
                      <w:rFonts w:hint="eastAsia"/>
                      <w:b/>
                      <w:bCs/>
                      <w:lang w:val="en-US" w:eastAsia="zh-CN"/>
                    </w:rPr>
                    <w:t>监测项目</w:t>
                  </w:r>
                </w:p>
              </w:tc>
              <w:tc>
                <w:tcPr>
                  <w:tcW w:w="1605" w:type="dxa"/>
                  <w:vAlign w:val="center"/>
                </w:tcPr>
                <w:p w14:paraId="53FE5890">
                  <w:pPr>
                    <w:pStyle w:val="24"/>
                    <w:bidi w:val="0"/>
                    <w:jc w:val="center"/>
                    <w:rPr>
                      <w:rFonts w:hint="default"/>
                      <w:b/>
                      <w:bCs/>
                      <w:lang w:val="en-US" w:eastAsia="zh-CN"/>
                    </w:rPr>
                  </w:pPr>
                  <w:r>
                    <w:rPr>
                      <w:rFonts w:hint="eastAsia"/>
                      <w:b/>
                      <w:bCs/>
                      <w:lang w:val="en-US" w:eastAsia="zh-CN"/>
                    </w:rPr>
                    <w:t>监测频次</w:t>
                  </w:r>
                </w:p>
              </w:tc>
              <w:tc>
                <w:tcPr>
                  <w:tcW w:w="2859" w:type="dxa"/>
                  <w:vAlign w:val="center"/>
                </w:tcPr>
                <w:p w14:paraId="5BFAB1F9">
                  <w:pPr>
                    <w:pStyle w:val="24"/>
                    <w:bidi w:val="0"/>
                    <w:jc w:val="center"/>
                    <w:rPr>
                      <w:rFonts w:hint="default"/>
                      <w:b/>
                      <w:bCs/>
                      <w:lang w:val="en-US" w:eastAsia="zh-CN"/>
                    </w:rPr>
                  </w:pPr>
                  <w:r>
                    <w:rPr>
                      <w:rFonts w:hint="eastAsia"/>
                      <w:b/>
                      <w:bCs/>
                      <w:lang w:val="en-US" w:eastAsia="zh-CN"/>
                    </w:rPr>
                    <w:t>依据</w:t>
                  </w:r>
                </w:p>
              </w:tc>
            </w:tr>
            <w:tr w14:paraId="42931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676" w:type="dxa"/>
                  <w:vAlign w:val="center"/>
                </w:tcPr>
                <w:p w14:paraId="4FF54072">
                  <w:pPr>
                    <w:pStyle w:val="24"/>
                    <w:bidi w:val="0"/>
                    <w:jc w:val="center"/>
                    <w:rPr>
                      <w:rFonts w:hint="default"/>
                      <w:lang w:val="en-US" w:eastAsia="zh-CN"/>
                    </w:rPr>
                  </w:pPr>
                  <w:r>
                    <w:rPr>
                      <w:rFonts w:hint="eastAsia"/>
                      <w:lang w:val="en-US" w:eastAsia="zh-CN"/>
                    </w:rPr>
                    <w:t>2022年12月16日-22日</w:t>
                  </w:r>
                </w:p>
              </w:tc>
              <w:tc>
                <w:tcPr>
                  <w:tcW w:w="1110" w:type="dxa"/>
                  <w:vAlign w:val="center"/>
                </w:tcPr>
                <w:p w14:paraId="66C2AFC9">
                  <w:pPr>
                    <w:pStyle w:val="24"/>
                    <w:bidi w:val="0"/>
                    <w:jc w:val="center"/>
                    <w:rPr>
                      <w:rFonts w:hint="default"/>
                      <w:lang w:val="en-US" w:eastAsia="zh-CN"/>
                    </w:rPr>
                  </w:pPr>
                  <w:r>
                    <w:rPr>
                      <w:rFonts w:hint="eastAsia"/>
                      <w:lang w:val="en-US" w:eastAsia="zh-CN"/>
                    </w:rPr>
                    <w:t>TVOC</w:t>
                  </w:r>
                </w:p>
              </w:tc>
              <w:tc>
                <w:tcPr>
                  <w:tcW w:w="1290" w:type="dxa"/>
                  <w:vAlign w:val="center"/>
                </w:tcPr>
                <w:p w14:paraId="333DCCEA">
                  <w:pPr>
                    <w:pStyle w:val="24"/>
                    <w:bidi w:val="0"/>
                    <w:jc w:val="center"/>
                    <w:rPr>
                      <w:rFonts w:hint="default"/>
                      <w:lang w:val="en-US" w:eastAsia="zh-CN"/>
                    </w:rPr>
                  </w:pPr>
                  <w:r>
                    <w:rPr>
                      <w:rFonts w:hint="eastAsia"/>
                      <w:lang w:val="en-US" w:eastAsia="zh-CN"/>
                    </w:rPr>
                    <w:t>8小时浓度</w:t>
                  </w:r>
                </w:p>
              </w:tc>
              <w:tc>
                <w:tcPr>
                  <w:tcW w:w="1605" w:type="dxa"/>
                  <w:vAlign w:val="center"/>
                </w:tcPr>
                <w:p w14:paraId="60FBE667">
                  <w:pPr>
                    <w:pStyle w:val="24"/>
                    <w:bidi w:val="0"/>
                    <w:jc w:val="center"/>
                    <w:rPr>
                      <w:rFonts w:hint="default"/>
                      <w:lang w:val="en-US" w:eastAsia="zh-CN"/>
                    </w:rPr>
                  </w:pPr>
                  <w:r>
                    <w:rPr>
                      <w:rFonts w:hint="eastAsia"/>
                      <w:lang w:val="en-US" w:eastAsia="zh-CN"/>
                    </w:rPr>
                    <w:t>连续监测7天、每天连续监测8小时</w:t>
                  </w:r>
                </w:p>
              </w:tc>
              <w:tc>
                <w:tcPr>
                  <w:tcW w:w="2859" w:type="dxa"/>
                  <w:vAlign w:val="center"/>
                </w:tcPr>
                <w:p w14:paraId="4DEA089D">
                  <w:pPr>
                    <w:pStyle w:val="24"/>
                    <w:bidi w:val="0"/>
                    <w:jc w:val="center"/>
                    <w:rPr>
                      <w:rFonts w:hint="default"/>
                      <w:lang w:val="en-US" w:eastAsia="zh-CN"/>
                    </w:rPr>
                  </w:pPr>
                  <w:r>
                    <w:rPr>
                      <w:rFonts w:hint="default"/>
                      <w:lang w:val="en-US" w:eastAsia="zh-CN"/>
                    </w:rPr>
                    <w:t>《环境空气质量准》（GB3095-2012）和《环境影响评价技术导则大气环境》（HJ2.2-2018）；</w:t>
                  </w:r>
                </w:p>
              </w:tc>
            </w:tr>
          </w:tbl>
          <w:p w14:paraId="4F51D90B">
            <w:pPr>
              <w:pStyle w:val="25"/>
              <w:bidi w:val="0"/>
              <w:rPr>
                <w:rFonts w:hint="default"/>
                <w:lang w:val="en-US" w:eastAsia="zh-CN"/>
              </w:rPr>
            </w:pPr>
            <w:r>
              <w:rPr>
                <w:rFonts w:hint="eastAsia"/>
                <w:lang w:val="en-US" w:eastAsia="zh-CN"/>
              </w:rPr>
              <w:t>表3-3                 环境空气现状补充监测点位</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15"/>
              <w:gridCol w:w="1500"/>
              <w:gridCol w:w="3566"/>
              <w:gridCol w:w="1708"/>
            </w:tblGrid>
            <w:tr w14:paraId="0093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41D2F133">
                  <w:pPr>
                    <w:pStyle w:val="24"/>
                    <w:bidi w:val="0"/>
                    <w:jc w:val="center"/>
                    <w:rPr>
                      <w:rFonts w:hint="default"/>
                      <w:b/>
                      <w:bCs/>
                      <w:lang w:val="en-US" w:eastAsia="zh-CN"/>
                    </w:rPr>
                  </w:pPr>
                  <w:r>
                    <w:rPr>
                      <w:rFonts w:hint="eastAsia"/>
                      <w:b/>
                      <w:bCs/>
                      <w:lang w:val="en-US" w:eastAsia="zh-CN"/>
                    </w:rPr>
                    <w:t>序号</w:t>
                  </w:r>
                </w:p>
              </w:tc>
              <w:tc>
                <w:tcPr>
                  <w:tcW w:w="915" w:type="dxa"/>
                  <w:vAlign w:val="center"/>
                </w:tcPr>
                <w:p w14:paraId="48BB9B0F">
                  <w:pPr>
                    <w:pStyle w:val="24"/>
                    <w:bidi w:val="0"/>
                    <w:jc w:val="center"/>
                    <w:rPr>
                      <w:rFonts w:hint="default"/>
                      <w:b/>
                      <w:bCs/>
                      <w:lang w:val="en-US" w:eastAsia="zh-CN"/>
                    </w:rPr>
                  </w:pPr>
                  <w:r>
                    <w:rPr>
                      <w:rFonts w:hint="eastAsia"/>
                      <w:b/>
                      <w:bCs/>
                      <w:lang w:val="en-US" w:eastAsia="zh-CN"/>
                    </w:rPr>
                    <w:t>园区</w:t>
                  </w:r>
                </w:p>
              </w:tc>
              <w:tc>
                <w:tcPr>
                  <w:tcW w:w="1500" w:type="dxa"/>
                  <w:vAlign w:val="center"/>
                </w:tcPr>
                <w:p w14:paraId="213A3E2A">
                  <w:pPr>
                    <w:pStyle w:val="24"/>
                    <w:bidi w:val="0"/>
                    <w:jc w:val="center"/>
                    <w:rPr>
                      <w:rFonts w:hint="default"/>
                      <w:b/>
                      <w:bCs/>
                      <w:lang w:val="en-US" w:eastAsia="zh-CN"/>
                    </w:rPr>
                  </w:pPr>
                  <w:r>
                    <w:rPr>
                      <w:rFonts w:hint="eastAsia"/>
                      <w:b/>
                      <w:bCs/>
                      <w:lang w:val="en-US" w:eastAsia="zh-CN"/>
                    </w:rPr>
                    <w:t>点位名称</w:t>
                  </w:r>
                </w:p>
              </w:tc>
              <w:tc>
                <w:tcPr>
                  <w:tcW w:w="3566" w:type="dxa"/>
                  <w:vAlign w:val="center"/>
                </w:tcPr>
                <w:p w14:paraId="5DC8E019">
                  <w:pPr>
                    <w:pStyle w:val="24"/>
                    <w:bidi w:val="0"/>
                    <w:jc w:val="center"/>
                    <w:rPr>
                      <w:rFonts w:hint="default"/>
                      <w:b/>
                      <w:bCs/>
                      <w:lang w:val="en-US" w:eastAsia="zh-CN"/>
                    </w:rPr>
                  </w:pPr>
                  <w:r>
                    <w:rPr>
                      <w:rFonts w:hint="eastAsia"/>
                      <w:b/>
                      <w:bCs/>
                      <w:lang w:val="en-US" w:eastAsia="zh-CN"/>
                    </w:rPr>
                    <w:t>坐标</w:t>
                  </w:r>
                </w:p>
              </w:tc>
              <w:tc>
                <w:tcPr>
                  <w:tcW w:w="1708" w:type="dxa"/>
                  <w:vAlign w:val="center"/>
                </w:tcPr>
                <w:p w14:paraId="1E91B24A">
                  <w:pPr>
                    <w:pStyle w:val="24"/>
                    <w:bidi w:val="0"/>
                    <w:jc w:val="center"/>
                    <w:rPr>
                      <w:rFonts w:hint="default"/>
                      <w:b/>
                      <w:bCs/>
                      <w:lang w:val="en-US" w:eastAsia="zh-CN"/>
                    </w:rPr>
                  </w:pPr>
                  <w:r>
                    <w:rPr>
                      <w:rFonts w:hint="eastAsia"/>
                      <w:b/>
                      <w:bCs/>
                      <w:lang w:val="en-US" w:eastAsia="zh-CN"/>
                    </w:rPr>
                    <w:t>监测因子</w:t>
                  </w:r>
                </w:p>
              </w:tc>
            </w:tr>
            <w:tr w14:paraId="1D6DF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1AF4FE29">
                  <w:pPr>
                    <w:pStyle w:val="24"/>
                    <w:bidi w:val="0"/>
                    <w:jc w:val="center"/>
                    <w:rPr>
                      <w:rFonts w:hint="default"/>
                      <w:lang w:val="en-US" w:eastAsia="zh-CN"/>
                    </w:rPr>
                  </w:pPr>
                  <w:r>
                    <w:rPr>
                      <w:rFonts w:hint="eastAsia"/>
                      <w:lang w:val="en-US" w:eastAsia="zh-CN"/>
                    </w:rPr>
                    <w:t>1#</w:t>
                  </w:r>
                </w:p>
              </w:tc>
              <w:tc>
                <w:tcPr>
                  <w:tcW w:w="915" w:type="dxa"/>
                  <w:vMerge w:val="restart"/>
                  <w:vAlign w:val="center"/>
                </w:tcPr>
                <w:p w14:paraId="0E9F52D6">
                  <w:pPr>
                    <w:pStyle w:val="24"/>
                    <w:bidi w:val="0"/>
                    <w:jc w:val="center"/>
                    <w:rPr>
                      <w:rFonts w:hint="default"/>
                      <w:lang w:val="en-US" w:eastAsia="zh-CN"/>
                    </w:rPr>
                  </w:pPr>
                  <w:r>
                    <w:rPr>
                      <w:rFonts w:hint="eastAsia"/>
                      <w:lang w:val="en-US" w:eastAsia="zh-CN"/>
                    </w:rPr>
                    <w:t>新材料产业园</w:t>
                  </w:r>
                </w:p>
              </w:tc>
              <w:tc>
                <w:tcPr>
                  <w:tcW w:w="1500" w:type="dxa"/>
                  <w:vAlign w:val="center"/>
                </w:tcPr>
                <w:p w14:paraId="695BBB3A">
                  <w:pPr>
                    <w:pStyle w:val="24"/>
                    <w:bidi w:val="0"/>
                    <w:jc w:val="center"/>
                    <w:rPr>
                      <w:rFonts w:hint="default"/>
                      <w:lang w:val="en-US" w:eastAsia="zh-CN"/>
                    </w:rPr>
                  </w:pPr>
                  <w:r>
                    <w:rPr>
                      <w:rFonts w:hint="eastAsia"/>
                      <w:lang w:val="en-US" w:eastAsia="zh-CN"/>
                    </w:rPr>
                    <w:t>满家堡</w:t>
                  </w:r>
                </w:p>
              </w:tc>
              <w:tc>
                <w:tcPr>
                  <w:tcW w:w="3566" w:type="dxa"/>
                  <w:vAlign w:val="center"/>
                </w:tcPr>
                <w:p w14:paraId="067A78AD">
                  <w:pPr>
                    <w:pStyle w:val="24"/>
                    <w:bidi w:val="0"/>
                    <w:jc w:val="center"/>
                    <w:rPr>
                      <w:rFonts w:hint="default"/>
                      <w:lang w:val="en-US" w:eastAsia="zh-CN"/>
                    </w:rPr>
                  </w:pPr>
                  <w:r>
                    <w:rPr>
                      <w:rFonts w:hint="default"/>
                      <w:lang w:val="en-US" w:eastAsia="zh-CN"/>
                    </w:rPr>
                    <w:t>N36°10'26" E106°10'13"</w:t>
                  </w:r>
                </w:p>
              </w:tc>
              <w:tc>
                <w:tcPr>
                  <w:tcW w:w="1708" w:type="dxa"/>
                  <w:vMerge w:val="restart"/>
                  <w:vAlign w:val="center"/>
                </w:tcPr>
                <w:p w14:paraId="5D420E33">
                  <w:pPr>
                    <w:pStyle w:val="24"/>
                    <w:bidi w:val="0"/>
                    <w:jc w:val="center"/>
                    <w:rPr>
                      <w:rFonts w:hint="default"/>
                      <w:lang w:val="en-US" w:eastAsia="zh-CN"/>
                    </w:rPr>
                  </w:pPr>
                  <w:r>
                    <w:rPr>
                      <w:rFonts w:hint="eastAsia"/>
                      <w:lang w:val="en-US" w:eastAsia="zh-CN"/>
                    </w:rPr>
                    <w:t>TVOC</w:t>
                  </w:r>
                </w:p>
              </w:tc>
            </w:tr>
            <w:tr w14:paraId="6E33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570CD87">
                  <w:pPr>
                    <w:pStyle w:val="24"/>
                    <w:bidi w:val="0"/>
                    <w:jc w:val="center"/>
                    <w:rPr>
                      <w:rFonts w:hint="default"/>
                      <w:lang w:val="en-US" w:eastAsia="zh-CN"/>
                    </w:rPr>
                  </w:pPr>
                  <w:r>
                    <w:rPr>
                      <w:rFonts w:hint="eastAsia"/>
                      <w:lang w:val="en-US" w:eastAsia="zh-CN"/>
                    </w:rPr>
                    <w:t>2#</w:t>
                  </w:r>
                </w:p>
              </w:tc>
              <w:tc>
                <w:tcPr>
                  <w:tcW w:w="915" w:type="dxa"/>
                  <w:vMerge w:val="continue"/>
                  <w:vAlign w:val="center"/>
                </w:tcPr>
                <w:p w14:paraId="0D5BB38A">
                  <w:pPr>
                    <w:pStyle w:val="24"/>
                    <w:bidi w:val="0"/>
                    <w:jc w:val="center"/>
                    <w:rPr>
                      <w:rFonts w:hint="default"/>
                      <w:lang w:val="en-US" w:eastAsia="zh-CN"/>
                    </w:rPr>
                  </w:pPr>
                </w:p>
              </w:tc>
              <w:tc>
                <w:tcPr>
                  <w:tcW w:w="1500" w:type="dxa"/>
                  <w:vAlign w:val="center"/>
                </w:tcPr>
                <w:p w14:paraId="61C66222">
                  <w:pPr>
                    <w:pStyle w:val="24"/>
                    <w:bidi w:val="0"/>
                    <w:jc w:val="center"/>
                    <w:rPr>
                      <w:rFonts w:hint="default"/>
                      <w:lang w:val="en-US" w:eastAsia="zh-CN"/>
                    </w:rPr>
                  </w:pPr>
                  <w:r>
                    <w:rPr>
                      <w:rFonts w:hint="eastAsia"/>
                      <w:lang w:val="en-US" w:eastAsia="zh-CN"/>
                    </w:rPr>
                    <w:t>南窝子</w:t>
                  </w:r>
                </w:p>
              </w:tc>
              <w:tc>
                <w:tcPr>
                  <w:tcW w:w="3566" w:type="dxa"/>
                  <w:vAlign w:val="center"/>
                </w:tcPr>
                <w:p w14:paraId="5BF12E0D">
                  <w:pPr>
                    <w:pStyle w:val="24"/>
                    <w:bidi w:val="0"/>
                    <w:jc w:val="center"/>
                    <w:rPr>
                      <w:rFonts w:hint="default"/>
                      <w:lang w:val="en-US" w:eastAsia="zh-CN"/>
                    </w:rPr>
                  </w:pPr>
                  <w:r>
                    <w:rPr>
                      <w:rFonts w:hint="default"/>
                      <w:lang w:val="en-US" w:eastAsia="zh-CN"/>
                    </w:rPr>
                    <w:t>N36°10'42" E106°8'40"</w:t>
                  </w:r>
                </w:p>
              </w:tc>
              <w:tc>
                <w:tcPr>
                  <w:tcW w:w="1708" w:type="dxa"/>
                  <w:vMerge w:val="continue"/>
                  <w:vAlign w:val="center"/>
                </w:tcPr>
                <w:p w14:paraId="6898FB5A">
                  <w:pPr>
                    <w:pStyle w:val="24"/>
                    <w:bidi w:val="0"/>
                    <w:jc w:val="center"/>
                    <w:rPr>
                      <w:rFonts w:hint="default"/>
                      <w:lang w:val="en-US" w:eastAsia="zh-CN"/>
                    </w:rPr>
                  </w:pPr>
                </w:p>
              </w:tc>
            </w:tr>
            <w:tr w14:paraId="634E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5EB183D3">
                  <w:pPr>
                    <w:pStyle w:val="24"/>
                    <w:bidi w:val="0"/>
                    <w:jc w:val="center"/>
                    <w:rPr>
                      <w:rFonts w:hint="default"/>
                      <w:lang w:val="en-US" w:eastAsia="zh-CN"/>
                    </w:rPr>
                  </w:pPr>
                  <w:r>
                    <w:rPr>
                      <w:rFonts w:hint="eastAsia"/>
                      <w:lang w:val="en-US" w:eastAsia="zh-CN"/>
                    </w:rPr>
                    <w:t>3#</w:t>
                  </w:r>
                </w:p>
              </w:tc>
              <w:tc>
                <w:tcPr>
                  <w:tcW w:w="915" w:type="dxa"/>
                  <w:vMerge w:val="continue"/>
                  <w:vAlign w:val="center"/>
                </w:tcPr>
                <w:p w14:paraId="0FB3B796">
                  <w:pPr>
                    <w:pStyle w:val="24"/>
                    <w:bidi w:val="0"/>
                    <w:jc w:val="center"/>
                    <w:rPr>
                      <w:rFonts w:hint="default"/>
                      <w:lang w:val="en-US" w:eastAsia="zh-CN"/>
                    </w:rPr>
                  </w:pPr>
                </w:p>
              </w:tc>
              <w:tc>
                <w:tcPr>
                  <w:tcW w:w="1500" w:type="dxa"/>
                  <w:vAlign w:val="center"/>
                </w:tcPr>
                <w:p w14:paraId="3ADFDF4A">
                  <w:pPr>
                    <w:pStyle w:val="24"/>
                    <w:bidi w:val="0"/>
                    <w:jc w:val="center"/>
                    <w:rPr>
                      <w:rFonts w:hint="default"/>
                      <w:lang w:val="en-US" w:eastAsia="zh-CN"/>
                    </w:rPr>
                  </w:pPr>
                  <w:r>
                    <w:rPr>
                      <w:rFonts w:hint="eastAsia"/>
                      <w:lang w:val="en-US" w:eastAsia="zh-CN"/>
                    </w:rPr>
                    <w:t>大疙瘩村</w:t>
                  </w:r>
                </w:p>
              </w:tc>
              <w:tc>
                <w:tcPr>
                  <w:tcW w:w="3566" w:type="dxa"/>
                  <w:vAlign w:val="center"/>
                </w:tcPr>
                <w:p w14:paraId="245B8ADC">
                  <w:pPr>
                    <w:pStyle w:val="24"/>
                    <w:bidi w:val="0"/>
                    <w:jc w:val="center"/>
                    <w:rPr>
                      <w:rFonts w:hint="default"/>
                      <w:lang w:val="en-US" w:eastAsia="zh-CN"/>
                    </w:rPr>
                  </w:pPr>
                  <w:r>
                    <w:rPr>
                      <w:rFonts w:hint="default"/>
                      <w:lang w:val="en-US" w:eastAsia="zh-CN"/>
                    </w:rPr>
                    <w:t>N36°10'37" E106°7'42"</w:t>
                  </w:r>
                </w:p>
              </w:tc>
              <w:tc>
                <w:tcPr>
                  <w:tcW w:w="1708" w:type="dxa"/>
                  <w:vMerge w:val="continue"/>
                  <w:vAlign w:val="center"/>
                </w:tcPr>
                <w:p w14:paraId="7596015B">
                  <w:pPr>
                    <w:pStyle w:val="24"/>
                    <w:bidi w:val="0"/>
                    <w:jc w:val="center"/>
                    <w:rPr>
                      <w:rFonts w:hint="default"/>
                      <w:lang w:val="en-US" w:eastAsia="zh-CN"/>
                    </w:rPr>
                  </w:pPr>
                </w:p>
              </w:tc>
            </w:tr>
            <w:tr w14:paraId="540A5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2D9625D0">
                  <w:pPr>
                    <w:pStyle w:val="24"/>
                    <w:bidi w:val="0"/>
                    <w:jc w:val="center"/>
                    <w:rPr>
                      <w:rFonts w:hint="default"/>
                      <w:lang w:val="en-US" w:eastAsia="zh-CN"/>
                    </w:rPr>
                  </w:pPr>
                  <w:r>
                    <w:rPr>
                      <w:rFonts w:hint="eastAsia"/>
                      <w:lang w:val="en-US" w:eastAsia="zh-CN"/>
                    </w:rPr>
                    <w:t>4#</w:t>
                  </w:r>
                </w:p>
              </w:tc>
              <w:tc>
                <w:tcPr>
                  <w:tcW w:w="915" w:type="dxa"/>
                  <w:vMerge w:val="continue"/>
                  <w:vAlign w:val="center"/>
                </w:tcPr>
                <w:p w14:paraId="3974A0C7">
                  <w:pPr>
                    <w:pStyle w:val="24"/>
                    <w:bidi w:val="0"/>
                    <w:jc w:val="center"/>
                    <w:rPr>
                      <w:rFonts w:hint="default"/>
                      <w:lang w:val="en-US" w:eastAsia="zh-CN"/>
                    </w:rPr>
                  </w:pPr>
                </w:p>
              </w:tc>
              <w:tc>
                <w:tcPr>
                  <w:tcW w:w="1500" w:type="dxa"/>
                  <w:vAlign w:val="center"/>
                </w:tcPr>
                <w:p w14:paraId="7D46774B">
                  <w:pPr>
                    <w:pStyle w:val="24"/>
                    <w:bidi w:val="0"/>
                    <w:jc w:val="center"/>
                    <w:rPr>
                      <w:rFonts w:hint="default"/>
                      <w:lang w:val="en-US" w:eastAsia="zh-CN"/>
                    </w:rPr>
                  </w:pPr>
                  <w:r>
                    <w:rPr>
                      <w:rFonts w:hint="eastAsia"/>
                      <w:lang w:val="en-US" w:eastAsia="zh-CN"/>
                    </w:rPr>
                    <w:t>铁沟村卫生室</w:t>
                  </w:r>
                </w:p>
              </w:tc>
              <w:tc>
                <w:tcPr>
                  <w:tcW w:w="3566" w:type="dxa"/>
                  <w:vAlign w:val="center"/>
                </w:tcPr>
                <w:p w14:paraId="6DB490B2">
                  <w:pPr>
                    <w:pStyle w:val="24"/>
                    <w:bidi w:val="0"/>
                    <w:jc w:val="center"/>
                    <w:rPr>
                      <w:rFonts w:hint="default"/>
                      <w:lang w:val="en-US" w:eastAsia="zh-CN"/>
                    </w:rPr>
                  </w:pPr>
                  <w:r>
                    <w:rPr>
                      <w:rFonts w:hint="default"/>
                      <w:lang w:val="en-US" w:eastAsia="zh-CN"/>
                    </w:rPr>
                    <w:t>N36°11'23" E106°6'44"</w:t>
                  </w:r>
                </w:p>
              </w:tc>
              <w:tc>
                <w:tcPr>
                  <w:tcW w:w="1708" w:type="dxa"/>
                  <w:vMerge w:val="continue"/>
                  <w:vAlign w:val="center"/>
                </w:tcPr>
                <w:p w14:paraId="7ACF7497">
                  <w:pPr>
                    <w:pStyle w:val="24"/>
                    <w:bidi w:val="0"/>
                    <w:jc w:val="center"/>
                    <w:rPr>
                      <w:rFonts w:hint="default"/>
                      <w:lang w:val="en-US" w:eastAsia="zh-CN"/>
                    </w:rPr>
                  </w:pPr>
                </w:p>
              </w:tc>
            </w:tr>
            <w:tr w14:paraId="7126E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Align w:val="center"/>
                </w:tcPr>
                <w:p w14:paraId="0BD7F689">
                  <w:pPr>
                    <w:pStyle w:val="24"/>
                    <w:bidi w:val="0"/>
                    <w:jc w:val="center"/>
                    <w:rPr>
                      <w:rFonts w:hint="default"/>
                      <w:lang w:val="en-US" w:eastAsia="zh-CN"/>
                    </w:rPr>
                  </w:pPr>
                  <w:r>
                    <w:rPr>
                      <w:rFonts w:hint="eastAsia"/>
                      <w:lang w:val="en-US" w:eastAsia="zh-CN"/>
                    </w:rPr>
                    <w:t>5#</w:t>
                  </w:r>
                </w:p>
              </w:tc>
              <w:tc>
                <w:tcPr>
                  <w:tcW w:w="915" w:type="dxa"/>
                  <w:vMerge w:val="continue"/>
                  <w:vAlign w:val="center"/>
                </w:tcPr>
                <w:p w14:paraId="115A5E7B">
                  <w:pPr>
                    <w:pStyle w:val="24"/>
                    <w:bidi w:val="0"/>
                    <w:jc w:val="center"/>
                    <w:rPr>
                      <w:rFonts w:hint="default"/>
                      <w:lang w:val="en-US" w:eastAsia="zh-CN"/>
                    </w:rPr>
                  </w:pPr>
                </w:p>
              </w:tc>
              <w:tc>
                <w:tcPr>
                  <w:tcW w:w="1500" w:type="dxa"/>
                  <w:vAlign w:val="center"/>
                </w:tcPr>
                <w:p w14:paraId="75DDEAD9">
                  <w:pPr>
                    <w:pStyle w:val="24"/>
                    <w:bidi w:val="0"/>
                    <w:jc w:val="center"/>
                    <w:rPr>
                      <w:rFonts w:hint="default"/>
                      <w:lang w:val="en-US" w:eastAsia="zh-CN"/>
                    </w:rPr>
                  </w:pPr>
                  <w:r>
                    <w:rPr>
                      <w:rFonts w:hint="eastAsia"/>
                      <w:lang w:val="en-US" w:eastAsia="zh-CN"/>
                    </w:rPr>
                    <w:t>姚磨村</w:t>
                  </w:r>
                </w:p>
              </w:tc>
              <w:tc>
                <w:tcPr>
                  <w:tcW w:w="3566" w:type="dxa"/>
                  <w:vAlign w:val="center"/>
                </w:tcPr>
                <w:p w14:paraId="5783C1F0">
                  <w:pPr>
                    <w:pStyle w:val="24"/>
                    <w:bidi w:val="0"/>
                    <w:jc w:val="center"/>
                    <w:rPr>
                      <w:rFonts w:hint="default"/>
                      <w:lang w:val="en-US" w:eastAsia="zh-CN"/>
                    </w:rPr>
                  </w:pPr>
                  <w:r>
                    <w:rPr>
                      <w:rFonts w:hint="default"/>
                      <w:lang w:val="en-US" w:eastAsia="zh-CN"/>
                    </w:rPr>
                    <w:t>N36°8'46" E106°9'41"</w:t>
                  </w:r>
                </w:p>
              </w:tc>
              <w:tc>
                <w:tcPr>
                  <w:tcW w:w="1708" w:type="dxa"/>
                  <w:vMerge w:val="continue"/>
                  <w:vAlign w:val="center"/>
                </w:tcPr>
                <w:p w14:paraId="48ECDB73">
                  <w:pPr>
                    <w:pStyle w:val="24"/>
                    <w:bidi w:val="0"/>
                    <w:jc w:val="center"/>
                    <w:rPr>
                      <w:rFonts w:hint="default"/>
                      <w:lang w:val="en-US" w:eastAsia="zh-CN"/>
                    </w:rPr>
                  </w:pPr>
                </w:p>
              </w:tc>
            </w:tr>
            <w:tr w14:paraId="43888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1" w:type="dxa"/>
                  <w:vAlign w:val="center"/>
                </w:tcPr>
                <w:p w14:paraId="4D24F1CE">
                  <w:pPr>
                    <w:pStyle w:val="24"/>
                    <w:bidi w:val="0"/>
                    <w:jc w:val="center"/>
                    <w:rPr>
                      <w:rFonts w:hint="default"/>
                      <w:lang w:val="en-US" w:eastAsia="zh-CN"/>
                    </w:rPr>
                  </w:pPr>
                  <w:r>
                    <w:rPr>
                      <w:rFonts w:hint="eastAsia"/>
                      <w:lang w:val="en-US" w:eastAsia="zh-CN"/>
                    </w:rPr>
                    <w:t>6#</w:t>
                  </w:r>
                </w:p>
              </w:tc>
              <w:tc>
                <w:tcPr>
                  <w:tcW w:w="915" w:type="dxa"/>
                  <w:vMerge w:val="continue"/>
                  <w:vAlign w:val="center"/>
                </w:tcPr>
                <w:p w14:paraId="58B27751">
                  <w:pPr>
                    <w:pStyle w:val="24"/>
                    <w:bidi w:val="0"/>
                    <w:jc w:val="center"/>
                    <w:rPr>
                      <w:rFonts w:hint="default"/>
                      <w:lang w:val="en-US" w:eastAsia="zh-CN"/>
                    </w:rPr>
                  </w:pPr>
                </w:p>
              </w:tc>
              <w:tc>
                <w:tcPr>
                  <w:tcW w:w="1500" w:type="dxa"/>
                  <w:vAlign w:val="center"/>
                </w:tcPr>
                <w:p w14:paraId="2739A83B">
                  <w:pPr>
                    <w:pStyle w:val="24"/>
                    <w:bidi w:val="0"/>
                    <w:jc w:val="center"/>
                    <w:rPr>
                      <w:rFonts w:hint="default"/>
                      <w:lang w:val="en-US" w:eastAsia="zh-CN"/>
                    </w:rPr>
                  </w:pPr>
                  <w:r>
                    <w:rPr>
                      <w:rFonts w:hint="eastAsia"/>
                      <w:lang w:val="en-US" w:eastAsia="zh-CN"/>
                    </w:rPr>
                    <w:t>下窝子</w:t>
                  </w:r>
                </w:p>
              </w:tc>
              <w:tc>
                <w:tcPr>
                  <w:tcW w:w="3566" w:type="dxa"/>
                  <w:vAlign w:val="center"/>
                </w:tcPr>
                <w:p w14:paraId="25EA7670">
                  <w:pPr>
                    <w:pStyle w:val="24"/>
                    <w:bidi w:val="0"/>
                    <w:jc w:val="center"/>
                    <w:rPr>
                      <w:rFonts w:hint="default"/>
                      <w:lang w:val="en-US" w:eastAsia="zh-CN"/>
                    </w:rPr>
                  </w:pPr>
                  <w:r>
                    <w:rPr>
                      <w:rFonts w:hint="default"/>
                      <w:lang w:val="en-US" w:eastAsia="zh-CN"/>
                    </w:rPr>
                    <w:t>N36°10'39" E106°7'58"</w:t>
                  </w:r>
                </w:p>
              </w:tc>
              <w:tc>
                <w:tcPr>
                  <w:tcW w:w="1708" w:type="dxa"/>
                  <w:vMerge w:val="continue"/>
                  <w:vAlign w:val="center"/>
                </w:tcPr>
                <w:p w14:paraId="1F237166">
                  <w:pPr>
                    <w:pStyle w:val="24"/>
                    <w:bidi w:val="0"/>
                    <w:jc w:val="center"/>
                    <w:rPr>
                      <w:rFonts w:hint="default"/>
                      <w:lang w:val="en-US" w:eastAsia="zh-CN"/>
                    </w:rPr>
                  </w:pPr>
                </w:p>
              </w:tc>
            </w:tr>
          </w:tbl>
          <w:p w14:paraId="2A611D18">
            <w:pPr>
              <w:pStyle w:val="25"/>
              <w:bidi w:val="0"/>
              <w:rPr>
                <w:rFonts w:hint="eastAsia"/>
                <w:lang w:val="en-US" w:eastAsia="zh-CN"/>
              </w:rPr>
            </w:pPr>
          </w:p>
          <w:p w14:paraId="1FB3127C">
            <w:pPr>
              <w:pStyle w:val="25"/>
              <w:bidi w:val="0"/>
              <w:rPr>
                <w:rFonts w:hint="default"/>
                <w:lang w:val="en-US" w:eastAsia="zh-CN"/>
              </w:rPr>
            </w:pPr>
            <w:r>
              <w:rPr>
                <w:rFonts w:hint="eastAsia"/>
                <w:lang w:val="en-US" w:eastAsia="zh-CN"/>
              </w:rPr>
              <w:t>表3-4    特征污染因子环境空气质量监测计统计结果一览表</w:t>
            </w:r>
          </w:p>
          <w:tbl>
            <w:tblPr>
              <w:tblStyle w:val="18"/>
              <w:tblW w:w="8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730"/>
              <w:gridCol w:w="840"/>
              <w:gridCol w:w="840"/>
              <w:gridCol w:w="840"/>
              <w:gridCol w:w="840"/>
              <w:gridCol w:w="840"/>
              <w:gridCol w:w="793"/>
              <w:gridCol w:w="49"/>
            </w:tblGrid>
            <w:tr w14:paraId="06BD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49" w:type="dxa"/>
                <w:trHeight w:val="247" w:hRule="atLeast"/>
              </w:trPr>
              <w:tc>
                <w:tcPr>
                  <w:tcW w:w="817" w:type="dxa"/>
                  <w:vMerge w:val="restart"/>
                  <w:vAlign w:val="center"/>
                </w:tcPr>
                <w:p w14:paraId="40513D9F">
                  <w:pPr>
                    <w:pStyle w:val="24"/>
                    <w:bidi w:val="0"/>
                    <w:jc w:val="center"/>
                    <w:rPr>
                      <w:rFonts w:hint="default"/>
                      <w:lang w:val="en-US" w:eastAsia="zh-CN"/>
                    </w:rPr>
                  </w:pPr>
                  <w:r>
                    <w:rPr>
                      <w:rFonts w:hint="eastAsia"/>
                      <w:lang w:val="en-US" w:eastAsia="zh-CN"/>
                    </w:rPr>
                    <w:t>监测项目</w:t>
                  </w:r>
                </w:p>
              </w:tc>
              <w:tc>
                <w:tcPr>
                  <w:tcW w:w="2730" w:type="dxa"/>
                  <w:vMerge w:val="restart"/>
                  <w:vAlign w:val="center"/>
                </w:tcPr>
                <w:p w14:paraId="15E32BC5">
                  <w:pPr>
                    <w:pStyle w:val="24"/>
                    <w:bidi w:val="0"/>
                    <w:jc w:val="center"/>
                    <w:rPr>
                      <w:rFonts w:hint="default"/>
                      <w:lang w:val="en-US" w:eastAsia="zh-CN"/>
                    </w:rPr>
                  </w:pPr>
                  <w:r>
                    <w:rPr>
                      <w:rFonts w:hint="eastAsia"/>
                      <w:lang w:val="en-US" w:eastAsia="zh-CN"/>
                    </w:rPr>
                    <w:t>污染物统计项目</w:t>
                  </w:r>
                </w:p>
              </w:tc>
              <w:tc>
                <w:tcPr>
                  <w:tcW w:w="4993" w:type="dxa"/>
                  <w:gridSpan w:val="6"/>
                  <w:vAlign w:val="center"/>
                </w:tcPr>
                <w:p w14:paraId="1440CA33">
                  <w:pPr>
                    <w:pStyle w:val="24"/>
                    <w:bidi w:val="0"/>
                    <w:jc w:val="center"/>
                    <w:rPr>
                      <w:rFonts w:hint="default"/>
                      <w:lang w:val="en-US" w:eastAsia="zh-CN"/>
                    </w:rPr>
                  </w:pPr>
                  <w:r>
                    <w:rPr>
                      <w:rFonts w:hint="eastAsia"/>
                      <w:lang w:val="en-US" w:eastAsia="zh-CN"/>
                    </w:rPr>
                    <w:t>各监测点统计结果</w:t>
                  </w:r>
                </w:p>
              </w:tc>
            </w:tr>
            <w:tr w14:paraId="362A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298AE0A3">
                  <w:pPr>
                    <w:pStyle w:val="24"/>
                    <w:bidi w:val="0"/>
                    <w:jc w:val="center"/>
                    <w:rPr>
                      <w:rFonts w:hint="default"/>
                      <w:lang w:val="en-US" w:eastAsia="zh-CN"/>
                    </w:rPr>
                  </w:pPr>
                </w:p>
              </w:tc>
              <w:tc>
                <w:tcPr>
                  <w:tcW w:w="2730" w:type="dxa"/>
                  <w:vMerge w:val="continue"/>
                  <w:vAlign w:val="center"/>
                </w:tcPr>
                <w:p w14:paraId="494D6FD3">
                  <w:pPr>
                    <w:pStyle w:val="24"/>
                    <w:bidi w:val="0"/>
                    <w:jc w:val="center"/>
                    <w:rPr>
                      <w:rFonts w:hint="default"/>
                      <w:lang w:val="en-US" w:eastAsia="zh-CN"/>
                    </w:rPr>
                  </w:pPr>
                </w:p>
              </w:tc>
              <w:tc>
                <w:tcPr>
                  <w:tcW w:w="840" w:type="dxa"/>
                  <w:vAlign w:val="center"/>
                </w:tcPr>
                <w:p w14:paraId="036811A7">
                  <w:pPr>
                    <w:pStyle w:val="24"/>
                    <w:bidi w:val="0"/>
                    <w:jc w:val="center"/>
                    <w:rPr>
                      <w:rFonts w:hint="default"/>
                      <w:lang w:val="en-US" w:eastAsia="zh-CN"/>
                    </w:rPr>
                  </w:pPr>
                  <w:r>
                    <w:rPr>
                      <w:rFonts w:hint="eastAsia"/>
                      <w:lang w:val="en-US" w:eastAsia="zh-CN"/>
                    </w:rPr>
                    <w:t>1#</w:t>
                  </w:r>
                </w:p>
              </w:tc>
              <w:tc>
                <w:tcPr>
                  <w:tcW w:w="840" w:type="dxa"/>
                  <w:vAlign w:val="center"/>
                </w:tcPr>
                <w:p w14:paraId="3A854CBF">
                  <w:pPr>
                    <w:pStyle w:val="24"/>
                    <w:bidi w:val="0"/>
                    <w:jc w:val="center"/>
                    <w:rPr>
                      <w:rFonts w:hint="default"/>
                      <w:lang w:val="en-US" w:eastAsia="zh-CN"/>
                    </w:rPr>
                  </w:pPr>
                  <w:r>
                    <w:rPr>
                      <w:rFonts w:hint="eastAsia"/>
                      <w:lang w:val="en-US" w:eastAsia="zh-CN"/>
                    </w:rPr>
                    <w:t>2</w:t>
                  </w:r>
                  <w:r>
                    <w:rPr>
                      <w:rFonts w:hint="default"/>
                      <w:lang w:val="en-US" w:eastAsia="zh-CN"/>
                    </w:rPr>
                    <w:t>#</w:t>
                  </w:r>
                </w:p>
              </w:tc>
              <w:tc>
                <w:tcPr>
                  <w:tcW w:w="840" w:type="dxa"/>
                  <w:vAlign w:val="center"/>
                </w:tcPr>
                <w:p w14:paraId="62E0889C">
                  <w:pPr>
                    <w:pStyle w:val="24"/>
                    <w:bidi w:val="0"/>
                    <w:jc w:val="center"/>
                    <w:rPr>
                      <w:rFonts w:hint="default"/>
                      <w:lang w:val="en-US" w:eastAsia="zh-CN"/>
                    </w:rPr>
                  </w:pPr>
                  <w:r>
                    <w:rPr>
                      <w:rFonts w:hint="eastAsia"/>
                      <w:lang w:val="en-US" w:eastAsia="zh-CN"/>
                    </w:rPr>
                    <w:t>3</w:t>
                  </w:r>
                  <w:r>
                    <w:rPr>
                      <w:rFonts w:hint="default"/>
                      <w:lang w:val="en-US" w:eastAsia="zh-CN"/>
                    </w:rPr>
                    <w:t>#</w:t>
                  </w:r>
                </w:p>
              </w:tc>
              <w:tc>
                <w:tcPr>
                  <w:tcW w:w="840" w:type="dxa"/>
                  <w:vAlign w:val="center"/>
                </w:tcPr>
                <w:p w14:paraId="6581E3E6">
                  <w:pPr>
                    <w:pStyle w:val="24"/>
                    <w:bidi w:val="0"/>
                    <w:jc w:val="center"/>
                    <w:rPr>
                      <w:rFonts w:hint="default"/>
                      <w:lang w:val="en-US" w:eastAsia="zh-CN"/>
                    </w:rPr>
                  </w:pPr>
                  <w:r>
                    <w:rPr>
                      <w:rFonts w:hint="eastAsia"/>
                      <w:lang w:val="en-US" w:eastAsia="zh-CN"/>
                    </w:rPr>
                    <w:t>4</w:t>
                  </w:r>
                  <w:r>
                    <w:rPr>
                      <w:rFonts w:hint="default"/>
                      <w:lang w:val="en-US" w:eastAsia="zh-CN"/>
                    </w:rPr>
                    <w:t>#</w:t>
                  </w:r>
                </w:p>
              </w:tc>
              <w:tc>
                <w:tcPr>
                  <w:tcW w:w="840" w:type="dxa"/>
                  <w:vAlign w:val="center"/>
                </w:tcPr>
                <w:p w14:paraId="7F796D9B">
                  <w:pPr>
                    <w:pStyle w:val="24"/>
                    <w:bidi w:val="0"/>
                    <w:jc w:val="center"/>
                    <w:rPr>
                      <w:rFonts w:hint="default"/>
                      <w:lang w:val="en-US" w:eastAsia="zh-CN"/>
                    </w:rPr>
                  </w:pPr>
                  <w:r>
                    <w:rPr>
                      <w:rFonts w:hint="eastAsia"/>
                      <w:lang w:val="en-US" w:eastAsia="zh-CN"/>
                    </w:rPr>
                    <w:t>5</w:t>
                  </w:r>
                  <w:r>
                    <w:rPr>
                      <w:rFonts w:hint="default"/>
                      <w:lang w:val="en-US" w:eastAsia="zh-CN"/>
                    </w:rPr>
                    <w:t>#</w:t>
                  </w:r>
                </w:p>
              </w:tc>
              <w:tc>
                <w:tcPr>
                  <w:tcW w:w="842" w:type="dxa"/>
                  <w:gridSpan w:val="2"/>
                  <w:vAlign w:val="center"/>
                </w:tcPr>
                <w:p w14:paraId="334330E0">
                  <w:pPr>
                    <w:pStyle w:val="24"/>
                    <w:bidi w:val="0"/>
                    <w:jc w:val="center"/>
                    <w:rPr>
                      <w:rFonts w:hint="default"/>
                      <w:lang w:val="en-US" w:eastAsia="zh-CN"/>
                    </w:rPr>
                  </w:pPr>
                  <w:r>
                    <w:rPr>
                      <w:rFonts w:hint="eastAsia"/>
                      <w:lang w:val="en-US" w:eastAsia="zh-CN"/>
                    </w:rPr>
                    <w:t>6</w:t>
                  </w:r>
                  <w:r>
                    <w:rPr>
                      <w:rFonts w:hint="default"/>
                      <w:lang w:val="en-US" w:eastAsia="zh-CN"/>
                    </w:rPr>
                    <w:t>#</w:t>
                  </w:r>
                </w:p>
              </w:tc>
            </w:tr>
            <w:tr w14:paraId="3DE4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restart"/>
                  <w:vAlign w:val="center"/>
                </w:tcPr>
                <w:p w14:paraId="5319E6CE">
                  <w:pPr>
                    <w:pStyle w:val="24"/>
                    <w:bidi w:val="0"/>
                    <w:jc w:val="center"/>
                    <w:rPr>
                      <w:rFonts w:hint="default"/>
                      <w:lang w:val="en-US" w:eastAsia="zh-CN"/>
                    </w:rPr>
                  </w:pPr>
                  <w:r>
                    <w:rPr>
                      <w:rFonts w:hint="eastAsia"/>
                      <w:lang w:val="en-US" w:eastAsia="zh-CN"/>
                    </w:rPr>
                    <w:t>TVOC</w:t>
                  </w:r>
                </w:p>
              </w:tc>
              <w:tc>
                <w:tcPr>
                  <w:tcW w:w="2730" w:type="dxa"/>
                  <w:vAlign w:val="center"/>
                </w:tcPr>
                <w:p w14:paraId="55BD0D36">
                  <w:pPr>
                    <w:pStyle w:val="24"/>
                    <w:bidi w:val="0"/>
                    <w:jc w:val="center"/>
                    <w:rPr>
                      <w:rFonts w:hint="default"/>
                      <w:lang w:val="en-US" w:eastAsia="zh-CN"/>
                    </w:rPr>
                  </w:pPr>
                  <w:r>
                    <w:rPr>
                      <w:rFonts w:hint="default"/>
                      <w:lang w:val="en-US" w:eastAsia="zh-CN"/>
                    </w:rPr>
                    <w:t>8小时平均浓度范围（μg/m</w:t>
                  </w:r>
                  <w:r>
                    <w:rPr>
                      <w:rFonts w:hint="default"/>
                      <w:vertAlign w:val="superscript"/>
                      <w:lang w:val="en-US" w:eastAsia="zh-CN"/>
                    </w:rPr>
                    <w:t>3</w:t>
                  </w:r>
                  <w:r>
                    <w:rPr>
                      <w:rFonts w:hint="default"/>
                      <w:lang w:val="en-US" w:eastAsia="zh-CN"/>
                    </w:rPr>
                    <w:t>）</w:t>
                  </w:r>
                </w:p>
              </w:tc>
              <w:tc>
                <w:tcPr>
                  <w:tcW w:w="840" w:type="dxa"/>
                  <w:vAlign w:val="center"/>
                </w:tcPr>
                <w:p w14:paraId="43522EB1">
                  <w:pPr>
                    <w:pStyle w:val="24"/>
                    <w:bidi w:val="0"/>
                    <w:jc w:val="center"/>
                    <w:rPr>
                      <w:rFonts w:hint="default"/>
                      <w:lang w:val="en-US" w:eastAsia="zh-CN"/>
                    </w:rPr>
                  </w:pPr>
                  <w:r>
                    <w:rPr>
                      <w:rFonts w:hint="eastAsia"/>
                      <w:lang w:val="en-US" w:eastAsia="zh-CN"/>
                    </w:rPr>
                    <w:t>ND</w:t>
                  </w:r>
                </w:p>
              </w:tc>
              <w:tc>
                <w:tcPr>
                  <w:tcW w:w="840" w:type="dxa"/>
                  <w:vAlign w:val="center"/>
                </w:tcPr>
                <w:p w14:paraId="5A8F7D7B">
                  <w:pPr>
                    <w:pStyle w:val="24"/>
                    <w:bidi w:val="0"/>
                    <w:jc w:val="center"/>
                    <w:rPr>
                      <w:rFonts w:hint="default"/>
                      <w:lang w:val="en-US" w:eastAsia="zh-CN"/>
                    </w:rPr>
                  </w:pPr>
                  <w:r>
                    <w:rPr>
                      <w:rFonts w:hint="default"/>
                      <w:lang w:val="en-US" w:eastAsia="zh-CN"/>
                    </w:rPr>
                    <w:t>ND</w:t>
                  </w:r>
                </w:p>
              </w:tc>
              <w:tc>
                <w:tcPr>
                  <w:tcW w:w="840" w:type="dxa"/>
                  <w:vAlign w:val="center"/>
                </w:tcPr>
                <w:p w14:paraId="44C1AD6E">
                  <w:pPr>
                    <w:pStyle w:val="24"/>
                    <w:bidi w:val="0"/>
                    <w:jc w:val="center"/>
                    <w:rPr>
                      <w:rFonts w:hint="default"/>
                      <w:lang w:val="en-US" w:eastAsia="zh-CN"/>
                    </w:rPr>
                  </w:pPr>
                  <w:r>
                    <w:rPr>
                      <w:rFonts w:hint="default"/>
                      <w:lang w:val="en-US" w:eastAsia="zh-CN"/>
                    </w:rPr>
                    <w:t>ND</w:t>
                  </w:r>
                </w:p>
              </w:tc>
              <w:tc>
                <w:tcPr>
                  <w:tcW w:w="840" w:type="dxa"/>
                  <w:vAlign w:val="center"/>
                </w:tcPr>
                <w:p w14:paraId="7048DEDD">
                  <w:pPr>
                    <w:pStyle w:val="24"/>
                    <w:bidi w:val="0"/>
                    <w:jc w:val="center"/>
                    <w:rPr>
                      <w:rFonts w:hint="default"/>
                      <w:lang w:val="en-US" w:eastAsia="zh-CN"/>
                    </w:rPr>
                  </w:pPr>
                  <w:r>
                    <w:rPr>
                      <w:rFonts w:hint="default"/>
                      <w:lang w:val="en-US" w:eastAsia="zh-CN"/>
                    </w:rPr>
                    <w:t>ND</w:t>
                  </w:r>
                </w:p>
              </w:tc>
              <w:tc>
                <w:tcPr>
                  <w:tcW w:w="840" w:type="dxa"/>
                  <w:vAlign w:val="center"/>
                </w:tcPr>
                <w:p w14:paraId="24DAA29A">
                  <w:pPr>
                    <w:pStyle w:val="24"/>
                    <w:bidi w:val="0"/>
                    <w:jc w:val="center"/>
                    <w:rPr>
                      <w:rFonts w:hint="default"/>
                      <w:lang w:val="en-US" w:eastAsia="zh-CN"/>
                    </w:rPr>
                  </w:pPr>
                  <w:r>
                    <w:rPr>
                      <w:rFonts w:hint="default"/>
                      <w:lang w:val="en-US" w:eastAsia="zh-CN"/>
                    </w:rPr>
                    <w:t>ND</w:t>
                  </w:r>
                </w:p>
              </w:tc>
              <w:tc>
                <w:tcPr>
                  <w:tcW w:w="842" w:type="dxa"/>
                  <w:gridSpan w:val="2"/>
                  <w:vAlign w:val="center"/>
                </w:tcPr>
                <w:p w14:paraId="4F253852">
                  <w:pPr>
                    <w:pStyle w:val="24"/>
                    <w:bidi w:val="0"/>
                    <w:jc w:val="center"/>
                    <w:rPr>
                      <w:rFonts w:hint="default"/>
                      <w:lang w:val="en-US" w:eastAsia="zh-CN"/>
                    </w:rPr>
                  </w:pPr>
                  <w:r>
                    <w:rPr>
                      <w:rFonts w:hint="default"/>
                      <w:lang w:val="en-US" w:eastAsia="zh-CN"/>
                    </w:rPr>
                    <w:t>ND</w:t>
                  </w:r>
                </w:p>
              </w:tc>
            </w:tr>
            <w:tr w14:paraId="2F2FA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35D9602">
                  <w:pPr>
                    <w:pStyle w:val="24"/>
                    <w:bidi w:val="0"/>
                    <w:jc w:val="center"/>
                    <w:rPr>
                      <w:rFonts w:hint="default"/>
                      <w:lang w:val="en-US" w:eastAsia="zh-CN"/>
                    </w:rPr>
                  </w:pPr>
                </w:p>
              </w:tc>
              <w:tc>
                <w:tcPr>
                  <w:tcW w:w="2730" w:type="dxa"/>
                  <w:vAlign w:val="center"/>
                </w:tcPr>
                <w:p w14:paraId="3C71A03E">
                  <w:pPr>
                    <w:pStyle w:val="24"/>
                    <w:bidi w:val="0"/>
                    <w:jc w:val="center"/>
                    <w:rPr>
                      <w:rFonts w:hint="default"/>
                      <w:lang w:val="en-US" w:eastAsia="zh-CN"/>
                    </w:rPr>
                  </w:pPr>
                  <w:r>
                    <w:rPr>
                      <w:rFonts w:hint="default"/>
                      <w:lang w:val="en-US" w:eastAsia="zh-CN"/>
                    </w:rPr>
                    <w:t>8小时浓度标准（μg/m</w:t>
                  </w:r>
                  <w:r>
                    <w:rPr>
                      <w:rFonts w:hint="default"/>
                      <w:vertAlign w:val="superscript"/>
                      <w:lang w:val="en-US" w:eastAsia="zh-CN"/>
                    </w:rPr>
                    <w:t>3</w:t>
                  </w:r>
                  <w:r>
                    <w:rPr>
                      <w:rFonts w:hint="default"/>
                      <w:lang w:val="en-US" w:eastAsia="zh-CN"/>
                    </w:rPr>
                    <w:t>）</w:t>
                  </w:r>
                </w:p>
              </w:tc>
              <w:tc>
                <w:tcPr>
                  <w:tcW w:w="840" w:type="dxa"/>
                  <w:vAlign w:val="center"/>
                </w:tcPr>
                <w:p w14:paraId="442D4AB3">
                  <w:pPr>
                    <w:pStyle w:val="24"/>
                    <w:bidi w:val="0"/>
                    <w:jc w:val="center"/>
                    <w:rPr>
                      <w:rFonts w:hint="default"/>
                      <w:lang w:val="en-US" w:eastAsia="zh-CN"/>
                    </w:rPr>
                  </w:pPr>
                  <w:r>
                    <w:rPr>
                      <w:rFonts w:hint="eastAsia"/>
                      <w:lang w:val="en-US" w:eastAsia="zh-CN"/>
                    </w:rPr>
                    <w:t>600</w:t>
                  </w:r>
                </w:p>
              </w:tc>
              <w:tc>
                <w:tcPr>
                  <w:tcW w:w="840" w:type="dxa"/>
                  <w:vAlign w:val="center"/>
                </w:tcPr>
                <w:p w14:paraId="5FAA3DC5">
                  <w:pPr>
                    <w:pStyle w:val="24"/>
                    <w:bidi w:val="0"/>
                    <w:jc w:val="center"/>
                    <w:rPr>
                      <w:rFonts w:hint="default"/>
                      <w:lang w:val="en-US" w:eastAsia="zh-CN"/>
                    </w:rPr>
                  </w:pPr>
                  <w:r>
                    <w:rPr>
                      <w:rFonts w:hint="default"/>
                      <w:lang w:val="en-US" w:eastAsia="zh-CN"/>
                    </w:rPr>
                    <w:t>600</w:t>
                  </w:r>
                </w:p>
              </w:tc>
              <w:tc>
                <w:tcPr>
                  <w:tcW w:w="840" w:type="dxa"/>
                  <w:vAlign w:val="center"/>
                </w:tcPr>
                <w:p w14:paraId="3434E196">
                  <w:pPr>
                    <w:pStyle w:val="24"/>
                    <w:bidi w:val="0"/>
                    <w:jc w:val="center"/>
                    <w:rPr>
                      <w:rFonts w:hint="default"/>
                      <w:lang w:val="en-US" w:eastAsia="zh-CN"/>
                    </w:rPr>
                  </w:pPr>
                  <w:r>
                    <w:rPr>
                      <w:rFonts w:hint="default"/>
                      <w:lang w:val="en-US" w:eastAsia="zh-CN"/>
                    </w:rPr>
                    <w:t>600</w:t>
                  </w:r>
                </w:p>
              </w:tc>
              <w:tc>
                <w:tcPr>
                  <w:tcW w:w="840" w:type="dxa"/>
                  <w:vAlign w:val="center"/>
                </w:tcPr>
                <w:p w14:paraId="0BB3BFAD">
                  <w:pPr>
                    <w:pStyle w:val="24"/>
                    <w:bidi w:val="0"/>
                    <w:jc w:val="center"/>
                    <w:rPr>
                      <w:rFonts w:hint="default"/>
                      <w:lang w:val="en-US" w:eastAsia="zh-CN"/>
                    </w:rPr>
                  </w:pPr>
                  <w:r>
                    <w:rPr>
                      <w:rFonts w:hint="default"/>
                      <w:lang w:val="en-US" w:eastAsia="zh-CN"/>
                    </w:rPr>
                    <w:t>600</w:t>
                  </w:r>
                </w:p>
              </w:tc>
              <w:tc>
                <w:tcPr>
                  <w:tcW w:w="840" w:type="dxa"/>
                  <w:vAlign w:val="center"/>
                </w:tcPr>
                <w:p w14:paraId="62C33814">
                  <w:pPr>
                    <w:pStyle w:val="24"/>
                    <w:bidi w:val="0"/>
                    <w:jc w:val="center"/>
                    <w:rPr>
                      <w:rFonts w:hint="default"/>
                      <w:lang w:val="en-US" w:eastAsia="zh-CN"/>
                    </w:rPr>
                  </w:pPr>
                  <w:r>
                    <w:rPr>
                      <w:rFonts w:hint="default"/>
                      <w:lang w:val="en-US" w:eastAsia="zh-CN"/>
                    </w:rPr>
                    <w:t>600</w:t>
                  </w:r>
                </w:p>
              </w:tc>
              <w:tc>
                <w:tcPr>
                  <w:tcW w:w="842" w:type="dxa"/>
                  <w:gridSpan w:val="2"/>
                  <w:vAlign w:val="center"/>
                </w:tcPr>
                <w:p w14:paraId="656D4956">
                  <w:pPr>
                    <w:pStyle w:val="24"/>
                    <w:bidi w:val="0"/>
                    <w:jc w:val="center"/>
                    <w:rPr>
                      <w:rFonts w:hint="default"/>
                      <w:lang w:val="en-US" w:eastAsia="zh-CN"/>
                    </w:rPr>
                  </w:pPr>
                  <w:r>
                    <w:rPr>
                      <w:rFonts w:hint="default"/>
                      <w:lang w:val="en-US" w:eastAsia="zh-CN"/>
                    </w:rPr>
                    <w:t>600</w:t>
                  </w:r>
                </w:p>
              </w:tc>
            </w:tr>
            <w:tr w14:paraId="16C51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EF2FE35">
                  <w:pPr>
                    <w:pStyle w:val="24"/>
                    <w:bidi w:val="0"/>
                    <w:jc w:val="center"/>
                    <w:rPr>
                      <w:rFonts w:hint="default"/>
                      <w:lang w:val="en-US" w:eastAsia="zh-CN"/>
                    </w:rPr>
                  </w:pPr>
                </w:p>
              </w:tc>
              <w:tc>
                <w:tcPr>
                  <w:tcW w:w="2730" w:type="dxa"/>
                  <w:vAlign w:val="center"/>
                </w:tcPr>
                <w:p w14:paraId="4631D667">
                  <w:pPr>
                    <w:pStyle w:val="24"/>
                    <w:bidi w:val="0"/>
                    <w:jc w:val="center"/>
                    <w:rPr>
                      <w:rFonts w:hint="default"/>
                      <w:lang w:val="en-US" w:eastAsia="zh-CN"/>
                    </w:rPr>
                  </w:pPr>
                  <w:r>
                    <w:rPr>
                      <w:rFonts w:hint="default"/>
                      <w:lang w:val="en-US" w:eastAsia="zh-CN"/>
                    </w:rPr>
                    <w:t>最大污染指数</w:t>
                  </w:r>
                </w:p>
              </w:tc>
              <w:tc>
                <w:tcPr>
                  <w:tcW w:w="840" w:type="dxa"/>
                  <w:vAlign w:val="center"/>
                </w:tcPr>
                <w:p w14:paraId="0971E929">
                  <w:pPr>
                    <w:pStyle w:val="24"/>
                    <w:bidi w:val="0"/>
                    <w:jc w:val="center"/>
                    <w:rPr>
                      <w:rFonts w:hint="default"/>
                      <w:lang w:val="en-US" w:eastAsia="zh-CN"/>
                    </w:rPr>
                  </w:pPr>
                  <w:r>
                    <w:rPr>
                      <w:rFonts w:hint="default"/>
                      <w:lang w:val="en-US" w:eastAsia="zh-CN"/>
                    </w:rPr>
                    <w:t>0.0004</w:t>
                  </w:r>
                </w:p>
              </w:tc>
              <w:tc>
                <w:tcPr>
                  <w:tcW w:w="840" w:type="dxa"/>
                  <w:vAlign w:val="center"/>
                </w:tcPr>
                <w:p w14:paraId="573CAF9F">
                  <w:pPr>
                    <w:pStyle w:val="24"/>
                    <w:bidi w:val="0"/>
                    <w:jc w:val="center"/>
                    <w:rPr>
                      <w:rFonts w:hint="default"/>
                      <w:lang w:val="en-US" w:eastAsia="zh-CN"/>
                    </w:rPr>
                  </w:pPr>
                  <w:r>
                    <w:rPr>
                      <w:rFonts w:hint="default"/>
                      <w:lang w:val="en-US" w:eastAsia="zh-CN"/>
                    </w:rPr>
                    <w:t>0.0004</w:t>
                  </w:r>
                </w:p>
              </w:tc>
              <w:tc>
                <w:tcPr>
                  <w:tcW w:w="840" w:type="dxa"/>
                  <w:vAlign w:val="center"/>
                </w:tcPr>
                <w:p w14:paraId="5897D05A">
                  <w:pPr>
                    <w:pStyle w:val="24"/>
                    <w:bidi w:val="0"/>
                    <w:jc w:val="center"/>
                    <w:rPr>
                      <w:rFonts w:hint="default"/>
                      <w:lang w:val="en-US" w:eastAsia="zh-CN"/>
                    </w:rPr>
                  </w:pPr>
                  <w:r>
                    <w:rPr>
                      <w:rFonts w:hint="default"/>
                      <w:lang w:val="en-US" w:eastAsia="zh-CN"/>
                    </w:rPr>
                    <w:t>0.0004</w:t>
                  </w:r>
                </w:p>
              </w:tc>
              <w:tc>
                <w:tcPr>
                  <w:tcW w:w="840" w:type="dxa"/>
                  <w:vAlign w:val="center"/>
                </w:tcPr>
                <w:p w14:paraId="6C6DC74C">
                  <w:pPr>
                    <w:pStyle w:val="24"/>
                    <w:bidi w:val="0"/>
                    <w:jc w:val="center"/>
                    <w:rPr>
                      <w:rFonts w:hint="default"/>
                      <w:lang w:val="en-US" w:eastAsia="zh-CN"/>
                    </w:rPr>
                  </w:pPr>
                  <w:r>
                    <w:rPr>
                      <w:rFonts w:hint="default"/>
                      <w:lang w:val="en-US" w:eastAsia="zh-CN"/>
                    </w:rPr>
                    <w:t>0.0004</w:t>
                  </w:r>
                </w:p>
              </w:tc>
              <w:tc>
                <w:tcPr>
                  <w:tcW w:w="840" w:type="dxa"/>
                  <w:vAlign w:val="center"/>
                </w:tcPr>
                <w:p w14:paraId="1DF7C54B">
                  <w:pPr>
                    <w:pStyle w:val="24"/>
                    <w:bidi w:val="0"/>
                    <w:jc w:val="center"/>
                    <w:rPr>
                      <w:rFonts w:hint="default"/>
                      <w:lang w:val="en-US" w:eastAsia="zh-CN"/>
                    </w:rPr>
                  </w:pPr>
                  <w:r>
                    <w:rPr>
                      <w:rFonts w:hint="default"/>
                      <w:lang w:val="en-US" w:eastAsia="zh-CN"/>
                    </w:rPr>
                    <w:t>0.0004</w:t>
                  </w:r>
                </w:p>
              </w:tc>
              <w:tc>
                <w:tcPr>
                  <w:tcW w:w="842" w:type="dxa"/>
                  <w:gridSpan w:val="2"/>
                  <w:vAlign w:val="center"/>
                </w:tcPr>
                <w:p w14:paraId="61A254EB">
                  <w:pPr>
                    <w:pStyle w:val="24"/>
                    <w:bidi w:val="0"/>
                    <w:jc w:val="center"/>
                    <w:rPr>
                      <w:rFonts w:hint="default"/>
                      <w:lang w:val="en-US" w:eastAsia="zh-CN"/>
                    </w:rPr>
                  </w:pPr>
                  <w:r>
                    <w:rPr>
                      <w:rFonts w:hint="default"/>
                      <w:lang w:val="en-US" w:eastAsia="zh-CN"/>
                    </w:rPr>
                    <w:t>0.0004</w:t>
                  </w:r>
                </w:p>
              </w:tc>
            </w:tr>
            <w:tr w14:paraId="4265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30A5B8DD">
                  <w:pPr>
                    <w:pStyle w:val="24"/>
                    <w:bidi w:val="0"/>
                    <w:jc w:val="center"/>
                    <w:rPr>
                      <w:rFonts w:hint="default"/>
                      <w:lang w:val="en-US" w:eastAsia="zh-CN"/>
                    </w:rPr>
                  </w:pPr>
                </w:p>
              </w:tc>
              <w:tc>
                <w:tcPr>
                  <w:tcW w:w="2730" w:type="dxa"/>
                  <w:vAlign w:val="center"/>
                </w:tcPr>
                <w:p w14:paraId="4C56246B">
                  <w:pPr>
                    <w:pStyle w:val="24"/>
                    <w:bidi w:val="0"/>
                    <w:jc w:val="center"/>
                    <w:rPr>
                      <w:rFonts w:hint="default"/>
                      <w:lang w:val="en-US" w:eastAsia="zh-CN"/>
                    </w:rPr>
                  </w:pPr>
                  <w:r>
                    <w:rPr>
                      <w:rFonts w:hint="default"/>
                      <w:lang w:val="en-US" w:eastAsia="zh-CN"/>
                    </w:rPr>
                    <w:t>超标率（%）</w:t>
                  </w:r>
                </w:p>
              </w:tc>
              <w:tc>
                <w:tcPr>
                  <w:tcW w:w="840" w:type="dxa"/>
                  <w:vAlign w:val="center"/>
                </w:tcPr>
                <w:p w14:paraId="5D21E8E4">
                  <w:pPr>
                    <w:pStyle w:val="24"/>
                    <w:bidi w:val="0"/>
                    <w:jc w:val="center"/>
                    <w:rPr>
                      <w:rFonts w:hint="default"/>
                      <w:lang w:val="en-US" w:eastAsia="zh-CN"/>
                    </w:rPr>
                  </w:pPr>
                  <w:r>
                    <w:rPr>
                      <w:rFonts w:hint="eastAsia"/>
                      <w:lang w:val="en-US" w:eastAsia="zh-CN"/>
                    </w:rPr>
                    <w:t>/</w:t>
                  </w:r>
                </w:p>
              </w:tc>
              <w:tc>
                <w:tcPr>
                  <w:tcW w:w="840" w:type="dxa"/>
                  <w:vAlign w:val="center"/>
                </w:tcPr>
                <w:p w14:paraId="4A6A1670">
                  <w:pPr>
                    <w:pStyle w:val="24"/>
                    <w:bidi w:val="0"/>
                    <w:jc w:val="center"/>
                    <w:rPr>
                      <w:rFonts w:hint="default"/>
                      <w:lang w:val="en-US" w:eastAsia="zh-CN"/>
                    </w:rPr>
                  </w:pPr>
                  <w:r>
                    <w:rPr>
                      <w:rFonts w:hint="eastAsia"/>
                      <w:lang w:val="en-US" w:eastAsia="zh-CN"/>
                    </w:rPr>
                    <w:t>/</w:t>
                  </w:r>
                </w:p>
              </w:tc>
              <w:tc>
                <w:tcPr>
                  <w:tcW w:w="840" w:type="dxa"/>
                  <w:vAlign w:val="center"/>
                </w:tcPr>
                <w:p w14:paraId="5281859F">
                  <w:pPr>
                    <w:pStyle w:val="24"/>
                    <w:bidi w:val="0"/>
                    <w:jc w:val="center"/>
                    <w:rPr>
                      <w:rFonts w:hint="default"/>
                      <w:lang w:val="en-US" w:eastAsia="zh-CN"/>
                    </w:rPr>
                  </w:pPr>
                  <w:r>
                    <w:rPr>
                      <w:rFonts w:hint="eastAsia"/>
                      <w:lang w:val="en-US" w:eastAsia="zh-CN"/>
                    </w:rPr>
                    <w:t>/</w:t>
                  </w:r>
                </w:p>
              </w:tc>
              <w:tc>
                <w:tcPr>
                  <w:tcW w:w="840" w:type="dxa"/>
                  <w:vAlign w:val="center"/>
                </w:tcPr>
                <w:p w14:paraId="496726BE">
                  <w:pPr>
                    <w:pStyle w:val="24"/>
                    <w:bidi w:val="0"/>
                    <w:jc w:val="center"/>
                    <w:rPr>
                      <w:rFonts w:hint="default"/>
                      <w:lang w:val="en-US" w:eastAsia="zh-CN"/>
                    </w:rPr>
                  </w:pPr>
                  <w:r>
                    <w:rPr>
                      <w:rFonts w:hint="eastAsia"/>
                      <w:lang w:val="en-US" w:eastAsia="zh-CN"/>
                    </w:rPr>
                    <w:t>/</w:t>
                  </w:r>
                </w:p>
              </w:tc>
              <w:tc>
                <w:tcPr>
                  <w:tcW w:w="840" w:type="dxa"/>
                  <w:vAlign w:val="center"/>
                </w:tcPr>
                <w:p w14:paraId="0BF338FE">
                  <w:pPr>
                    <w:pStyle w:val="24"/>
                    <w:bidi w:val="0"/>
                    <w:jc w:val="center"/>
                    <w:rPr>
                      <w:rFonts w:hint="default"/>
                      <w:lang w:val="en-US" w:eastAsia="zh-CN"/>
                    </w:rPr>
                  </w:pPr>
                  <w:r>
                    <w:rPr>
                      <w:rFonts w:hint="eastAsia"/>
                      <w:lang w:val="en-US" w:eastAsia="zh-CN"/>
                    </w:rPr>
                    <w:t>/</w:t>
                  </w:r>
                </w:p>
              </w:tc>
              <w:tc>
                <w:tcPr>
                  <w:tcW w:w="842" w:type="dxa"/>
                  <w:gridSpan w:val="2"/>
                  <w:vAlign w:val="center"/>
                </w:tcPr>
                <w:p w14:paraId="21A39975">
                  <w:pPr>
                    <w:pStyle w:val="24"/>
                    <w:bidi w:val="0"/>
                    <w:jc w:val="center"/>
                    <w:rPr>
                      <w:rFonts w:hint="default"/>
                      <w:lang w:val="en-US" w:eastAsia="zh-CN"/>
                    </w:rPr>
                  </w:pPr>
                  <w:r>
                    <w:rPr>
                      <w:rFonts w:hint="eastAsia"/>
                      <w:lang w:val="en-US" w:eastAsia="zh-CN"/>
                    </w:rPr>
                    <w:t>/</w:t>
                  </w:r>
                </w:p>
              </w:tc>
            </w:tr>
            <w:tr w14:paraId="79DC7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Merge w:val="continue"/>
                  <w:vAlign w:val="center"/>
                </w:tcPr>
                <w:p w14:paraId="6A75B23D">
                  <w:pPr>
                    <w:pStyle w:val="24"/>
                    <w:bidi w:val="0"/>
                    <w:jc w:val="center"/>
                    <w:rPr>
                      <w:rFonts w:hint="default"/>
                      <w:lang w:val="en-US" w:eastAsia="zh-CN"/>
                    </w:rPr>
                  </w:pPr>
                </w:p>
              </w:tc>
              <w:tc>
                <w:tcPr>
                  <w:tcW w:w="2730" w:type="dxa"/>
                  <w:vAlign w:val="center"/>
                </w:tcPr>
                <w:p w14:paraId="5E388E7F">
                  <w:pPr>
                    <w:pStyle w:val="24"/>
                    <w:bidi w:val="0"/>
                    <w:jc w:val="center"/>
                    <w:rPr>
                      <w:rFonts w:hint="default"/>
                      <w:lang w:val="en-US" w:eastAsia="zh-CN"/>
                    </w:rPr>
                  </w:pPr>
                  <w:r>
                    <w:rPr>
                      <w:rFonts w:hint="default"/>
                      <w:lang w:val="en-US" w:eastAsia="zh-CN"/>
                    </w:rPr>
                    <w:t>达标情况</w:t>
                  </w:r>
                </w:p>
              </w:tc>
              <w:tc>
                <w:tcPr>
                  <w:tcW w:w="840" w:type="dxa"/>
                  <w:vAlign w:val="center"/>
                </w:tcPr>
                <w:p w14:paraId="1FD604EB">
                  <w:pPr>
                    <w:pStyle w:val="24"/>
                    <w:bidi w:val="0"/>
                    <w:jc w:val="center"/>
                    <w:rPr>
                      <w:rFonts w:hint="default"/>
                      <w:lang w:val="en-US" w:eastAsia="zh-CN"/>
                    </w:rPr>
                  </w:pPr>
                  <w:r>
                    <w:rPr>
                      <w:rFonts w:hint="eastAsia"/>
                      <w:lang w:val="en-US" w:eastAsia="zh-CN"/>
                    </w:rPr>
                    <w:t>达标</w:t>
                  </w:r>
                </w:p>
              </w:tc>
              <w:tc>
                <w:tcPr>
                  <w:tcW w:w="840" w:type="dxa"/>
                  <w:vAlign w:val="center"/>
                </w:tcPr>
                <w:p w14:paraId="4A92A221">
                  <w:pPr>
                    <w:pStyle w:val="24"/>
                    <w:bidi w:val="0"/>
                    <w:jc w:val="center"/>
                    <w:rPr>
                      <w:rFonts w:hint="default"/>
                      <w:lang w:val="en-US" w:eastAsia="zh-CN"/>
                    </w:rPr>
                  </w:pPr>
                  <w:r>
                    <w:rPr>
                      <w:rFonts w:hint="default"/>
                      <w:lang w:val="en-US" w:eastAsia="zh-CN"/>
                    </w:rPr>
                    <w:t>达标</w:t>
                  </w:r>
                </w:p>
              </w:tc>
              <w:tc>
                <w:tcPr>
                  <w:tcW w:w="840" w:type="dxa"/>
                  <w:vAlign w:val="center"/>
                </w:tcPr>
                <w:p w14:paraId="4E72DEE6">
                  <w:pPr>
                    <w:pStyle w:val="24"/>
                    <w:bidi w:val="0"/>
                    <w:jc w:val="center"/>
                    <w:rPr>
                      <w:rFonts w:hint="default"/>
                      <w:lang w:val="en-US" w:eastAsia="zh-CN"/>
                    </w:rPr>
                  </w:pPr>
                  <w:r>
                    <w:rPr>
                      <w:rFonts w:hint="default"/>
                      <w:lang w:val="en-US" w:eastAsia="zh-CN"/>
                    </w:rPr>
                    <w:t>达标</w:t>
                  </w:r>
                </w:p>
              </w:tc>
              <w:tc>
                <w:tcPr>
                  <w:tcW w:w="840" w:type="dxa"/>
                  <w:vAlign w:val="center"/>
                </w:tcPr>
                <w:p w14:paraId="50A7F825">
                  <w:pPr>
                    <w:pStyle w:val="24"/>
                    <w:bidi w:val="0"/>
                    <w:jc w:val="center"/>
                    <w:rPr>
                      <w:rFonts w:hint="default"/>
                      <w:lang w:val="en-US" w:eastAsia="zh-CN"/>
                    </w:rPr>
                  </w:pPr>
                  <w:r>
                    <w:rPr>
                      <w:rFonts w:hint="default"/>
                      <w:lang w:val="en-US" w:eastAsia="zh-CN"/>
                    </w:rPr>
                    <w:t>达标</w:t>
                  </w:r>
                </w:p>
              </w:tc>
              <w:tc>
                <w:tcPr>
                  <w:tcW w:w="840" w:type="dxa"/>
                  <w:vAlign w:val="center"/>
                </w:tcPr>
                <w:p w14:paraId="0ED63D09">
                  <w:pPr>
                    <w:pStyle w:val="24"/>
                    <w:bidi w:val="0"/>
                    <w:jc w:val="center"/>
                    <w:rPr>
                      <w:rFonts w:hint="default"/>
                      <w:lang w:val="en-US" w:eastAsia="zh-CN"/>
                    </w:rPr>
                  </w:pPr>
                  <w:r>
                    <w:rPr>
                      <w:rFonts w:hint="default"/>
                      <w:lang w:val="en-US" w:eastAsia="zh-CN"/>
                    </w:rPr>
                    <w:t>达标</w:t>
                  </w:r>
                </w:p>
              </w:tc>
              <w:tc>
                <w:tcPr>
                  <w:tcW w:w="842" w:type="dxa"/>
                  <w:gridSpan w:val="2"/>
                  <w:vAlign w:val="center"/>
                </w:tcPr>
                <w:p w14:paraId="7B55DCC2">
                  <w:pPr>
                    <w:pStyle w:val="24"/>
                    <w:bidi w:val="0"/>
                    <w:jc w:val="center"/>
                    <w:rPr>
                      <w:rFonts w:hint="default"/>
                      <w:lang w:val="en-US" w:eastAsia="zh-CN"/>
                    </w:rPr>
                  </w:pPr>
                  <w:r>
                    <w:rPr>
                      <w:rFonts w:hint="default"/>
                      <w:lang w:val="en-US" w:eastAsia="zh-CN"/>
                    </w:rPr>
                    <w:t>达标</w:t>
                  </w:r>
                </w:p>
              </w:tc>
            </w:tr>
          </w:tbl>
          <w:p w14:paraId="4C2272DA">
            <w:pPr>
              <w:pStyle w:val="44"/>
              <w:bidi w:val="0"/>
              <w:rPr>
                <w:rFonts w:hint="default" w:cs="Times New Roman"/>
                <w:color w:val="auto"/>
                <w:lang w:val="en-US" w:eastAsia="zh-CN"/>
              </w:rPr>
            </w:pPr>
            <w:r>
              <w:rPr>
                <w:rFonts w:hint="eastAsia" w:cs="Times New Roman"/>
                <w:color w:val="auto"/>
                <w:lang w:val="en-US" w:eastAsia="zh-CN"/>
              </w:rPr>
              <w:t>因此，根据《宁夏固原经济开发区“一区三园”总体规划修编（2022-2035 年）环境影响报告书》中对于新材料产业园中TVOC满足《环境影响评价技术导则大气环境》（HJ2.2-2018）附录D要求。</w:t>
            </w:r>
          </w:p>
          <w:p w14:paraId="7170F3B2">
            <w:pPr>
              <w:pStyle w:val="44"/>
              <w:bidi w:val="0"/>
              <w:rPr>
                <w:rFonts w:hint="default" w:cs="Times New Roman"/>
                <w:color w:val="auto"/>
                <w:lang w:val="en-US" w:eastAsia="zh-CN"/>
              </w:rPr>
            </w:pPr>
            <w:r>
              <w:rPr>
                <w:rFonts w:hint="eastAsia" w:cs="Times New Roman"/>
                <w:color w:val="auto"/>
                <w:lang w:val="en-US" w:eastAsia="zh-CN"/>
              </w:rPr>
              <w:t>综上所述，本项目所在区域为达标区。</w:t>
            </w:r>
          </w:p>
          <w:p w14:paraId="6BD13FBE">
            <w:pPr>
              <w:pStyle w:val="23"/>
              <w:bidi w:val="0"/>
              <w:rPr>
                <w:rFonts w:hint="default"/>
                <w:b/>
                <w:bCs/>
                <w:color w:val="auto"/>
              </w:rPr>
            </w:pPr>
            <w:r>
              <w:rPr>
                <w:rFonts w:hint="default"/>
                <w:b/>
                <w:bCs/>
                <w:color w:val="auto"/>
                <w:lang w:val="en-US" w:eastAsia="zh-CN"/>
              </w:rPr>
              <w:t>2、</w:t>
            </w:r>
            <w:r>
              <w:rPr>
                <w:rFonts w:hint="default"/>
                <w:b/>
                <w:bCs/>
                <w:color w:val="auto"/>
              </w:rPr>
              <w:t>声环境质量现状</w:t>
            </w:r>
          </w:p>
          <w:p w14:paraId="38B17551">
            <w:pPr>
              <w:pStyle w:val="23"/>
              <w:bidi w:val="0"/>
              <w:rPr>
                <w:rFonts w:hint="default"/>
                <w:color w:val="auto"/>
                <w:lang w:val="en-US" w:eastAsia="zh-CN"/>
              </w:rPr>
            </w:pPr>
            <w:r>
              <w:rPr>
                <w:rFonts w:hint="eastAsia"/>
                <w:color w:val="auto"/>
                <w:lang w:val="en-US" w:eastAsia="zh-CN"/>
              </w:rPr>
              <w:t>根据</w:t>
            </w:r>
            <w:r>
              <w:rPr>
                <w:rFonts w:hint="eastAsia"/>
                <w:color w:val="auto"/>
              </w:rPr>
              <w:t>建设项目环境影响报告表编制技术指南（污染影响类）（试行）</w:t>
            </w:r>
            <w:r>
              <w:rPr>
                <w:rFonts w:hint="eastAsia"/>
                <w:color w:val="auto"/>
                <w:lang w:eastAsia="zh-CN"/>
              </w:rPr>
              <w:t>，</w:t>
            </w:r>
            <w:r>
              <w:rPr>
                <w:rFonts w:hint="eastAsia"/>
                <w:color w:val="auto"/>
                <w:lang w:val="en-US" w:eastAsia="zh-CN"/>
              </w:rPr>
              <w:t>项目厂界50m范围内不存在声环境保护目标，不需要进行监测。</w:t>
            </w:r>
          </w:p>
          <w:p w14:paraId="485EAD0A">
            <w:pPr>
              <w:pStyle w:val="23"/>
              <w:bidi w:val="0"/>
              <w:rPr>
                <w:rFonts w:hint="default"/>
                <w:b/>
                <w:bCs/>
                <w:color w:val="auto"/>
                <w:lang w:val="en-US" w:eastAsia="zh-CN"/>
              </w:rPr>
            </w:pPr>
            <w:r>
              <w:rPr>
                <w:rFonts w:hint="default"/>
                <w:b/>
                <w:bCs/>
                <w:color w:val="auto"/>
                <w:lang w:val="en-US" w:eastAsia="zh-CN"/>
              </w:rPr>
              <w:t>3、地</w:t>
            </w:r>
            <w:r>
              <w:rPr>
                <w:rFonts w:hint="eastAsia"/>
                <w:b/>
                <w:bCs/>
                <w:color w:val="auto"/>
                <w:lang w:val="en-US" w:eastAsia="zh-CN"/>
              </w:rPr>
              <w:t>表</w:t>
            </w:r>
            <w:r>
              <w:rPr>
                <w:rFonts w:hint="default"/>
                <w:b/>
                <w:bCs/>
                <w:color w:val="auto"/>
                <w:lang w:val="en-US" w:eastAsia="zh-CN"/>
              </w:rPr>
              <w:t>水现状</w:t>
            </w:r>
          </w:p>
          <w:p w14:paraId="67B116FE">
            <w:pPr>
              <w:pStyle w:val="44"/>
              <w:bidi w:val="0"/>
              <w:rPr>
                <w:rFonts w:hint="default"/>
                <w:color w:val="auto"/>
                <w:lang w:val="en-US" w:eastAsia="zh-CN"/>
              </w:rPr>
            </w:pPr>
            <w:r>
              <w:rPr>
                <w:rFonts w:hint="default"/>
                <w:color w:val="auto"/>
                <w:lang w:val="en-US" w:eastAsia="zh-CN"/>
              </w:rPr>
              <w:t>本项目所在区域地表水为</w:t>
            </w:r>
            <w:r>
              <w:rPr>
                <w:rFonts w:hint="eastAsia"/>
                <w:color w:val="auto"/>
                <w:lang w:val="en-US" w:eastAsia="zh-CN"/>
              </w:rPr>
              <w:t>清水河</w:t>
            </w:r>
            <w:r>
              <w:rPr>
                <w:rFonts w:hint="default"/>
                <w:color w:val="auto"/>
                <w:lang w:val="en-US" w:eastAsia="zh-CN"/>
              </w:rPr>
              <w:t>，水质执行《地表水环境质量标准》（GB3838-2002）</w:t>
            </w:r>
            <w:r>
              <w:rPr>
                <w:rFonts w:hint="default" w:ascii="Times New Roman" w:hAnsi="Times New Roman" w:cs="Times New Roman"/>
                <w:color w:val="auto"/>
                <w:lang w:val="en-US" w:eastAsia="zh-CN"/>
              </w:rPr>
              <w:t>Ⅳ</w:t>
            </w:r>
            <w:r>
              <w:rPr>
                <w:rFonts w:hint="default"/>
                <w:color w:val="auto"/>
                <w:lang w:val="en-US" w:eastAsia="zh-CN"/>
              </w:rPr>
              <w:t>类标准。本次评价引用《</w:t>
            </w:r>
            <w:r>
              <w:rPr>
                <w:rFonts w:hint="default" w:ascii="Times New Roman" w:hAnsi="Times New Roman" w:cs="Times New Roman"/>
                <w:color w:val="auto"/>
                <w:lang w:val="en-US" w:eastAsia="zh-CN"/>
              </w:rPr>
              <w:t>2021年宁夏生态环境质量状况</w:t>
            </w:r>
            <w:r>
              <w:rPr>
                <w:rFonts w:hint="default"/>
                <w:color w:val="auto"/>
                <w:lang w:val="en-US" w:eastAsia="zh-CN"/>
              </w:rPr>
              <w:t>》中冬至河入清水河的地表水环境质量现状例行监测数据。</w:t>
            </w:r>
            <w:r>
              <w:rPr>
                <w:rFonts w:hint="eastAsia" w:ascii="宋体" w:hAnsi="宋体" w:cs="宋体"/>
                <w:color w:val="auto"/>
                <w:spacing w:val="-13"/>
                <w:sz w:val="24"/>
                <w:szCs w:val="24"/>
              </w:rPr>
              <w:t>检测因子均满足</w:t>
            </w:r>
            <w:r>
              <w:rPr>
                <w:rFonts w:hint="default"/>
                <w:color w:val="auto"/>
                <w:lang w:val="en-US" w:eastAsia="zh-CN"/>
              </w:rPr>
              <w:t>《地表水环境质量标准》（GB3838-2002）</w:t>
            </w:r>
            <w:r>
              <w:rPr>
                <w:rFonts w:hint="default" w:ascii="Times New Roman" w:hAnsi="Times New Roman" w:cs="Times New Roman"/>
                <w:color w:val="auto"/>
                <w:lang w:val="en-US" w:eastAsia="zh-CN"/>
              </w:rPr>
              <w:t>Ⅳ</w:t>
            </w:r>
            <w:r>
              <w:rPr>
                <w:rFonts w:hint="default"/>
                <w:color w:val="auto"/>
                <w:lang w:val="en-US" w:eastAsia="zh-CN"/>
              </w:rPr>
              <w:t>类标准</w:t>
            </w:r>
            <w:r>
              <w:rPr>
                <w:rFonts w:hint="eastAsia" w:ascii="宋体" w:hAnsi="宋体" w:cs="宋体"/>
                <w:color w:val="auto"/>
                <w:sz w:val="24"/>
                <w:szCs w:val="24"/>
              </w:rPr>
              <w:t>要求。</w:t>
            </w:r>
          </w:p>
          <w:p w14:paraId="099D8F88">
            <w:pPr>
              <w:pStyle w:val="23"/>
              <w:bidi w:val="0"/>
              <w:rPr>
                <w:rFonts w:hint="default"/>
                <w:b/>
                <w:bCs/>
                <w:color w:val="auto"/>
                <w:lang w:val="en-US" w:eastAsia="zh-CN"/>
              </w:rPr>
            </w:pPr>
            <w:r>
              <w:rPr>
                <w:rFonts w:hint="default"/>
                <w:b/>
                <w:bCs/>
                <w:color w:val="auto"/>
                <w:lang w:val="en-US" w:eastAsia="zh-CN"/>
              </w:rPr>
              <w:t>4、土壤、地下水环境质量现状</w:t>
            </w:r>
          </w:p>
          <w:p w14:paraId="52035546">
            <w:pPr>
              <w:pStyle w:val="23"/>
              <w:bidi w:val="0"/>
              <w:rPr>
                <w:color w:val="auto"/>
              </w:rPr>
            </w:pPr>
            <w:r>
              <w:rPr>
                <w:rFonts w:hint="eastAsia"/>
                <w:color w:val="auto"/>
                <w:lang w:val="en-US" w:eastAsia="zh-CN"/>
              </w:rPr>
              <w:t>项目不涉及重金属及持久性污染物排放，项目运营期落实相应的污染防治措施后，生产过程不涉及地下水、土壤污染途径，因此不考虑对项目所在地土壤及地下水环境进行环境质量现状调查</w:t>
            </w:r>
            <w:r>
              <w:rPr>
                <w:color w:val="auto"/>
              </w:rPr>
              <w:t>。</w:t>
            </w:r>
          </w:p>
          <w:p w14:paraId="388DB6C8">
            <w:pPr>
              <w:pStyle w:val="23"/>
              <w:bidi w:val="0"/>
              <w:rPr>
                <w:rFonts w:hint="default"/>
                <w:b/>
                <w:bCs/>
                <w:color w:val="auto"/>
              </w:rPr>
            </w:pPr>
            <w:r>
              <w:rPr>
                <w:rFonts w:hint="eastAsia"/>
                <w:b/>
                <w:bCs/>
                <w:color w:val="auto"/>
                <w:lang w:val="en-US" w:eastAsia="zh-CN"/>
              </w:rPr>
              <w:t>5</w:t>
            </w:r>
            <w:r>
              <w:rPr>
                <w:rFonts w:hint="default"/>
                <w:b/>
                <w:bCs/>
                <w:color w:val="auto"/>
              </w:rPr>
              <w:t>、生态环境</w:t>
            </w:r>
          </w:p>
          <w:p w14:paraId="51EEE1D6">
            <w:pPr>
              <w:pStyle w:val="23"/>
              <w:bidi w:val="0"/>
              <w:rPr>
                <w:rFonts w:hint="default"/>
                <w:color w:val="auto"/>
              </w:rPr>
            </w:pPr>
            <w:r>
              <w:rPr>
                <w:rFonts w:hint="default"/>
                <w:color w:val="auto"/>
              </w:rPr>
              <w:t>根据《建设项目环境影响报告表编制技术指南》（污染影响类）（试行），“产业园区外建设项目新增用地且用地范围内含有生态环境保护目标时，应进行生态现状调查。”本项目位于固原经济开发区</w:t>
            </w:r>
            <w:r>
              <w:rPr>
                <w:rFonts w:hint="eastAsia"/>
                <w:color w:val="auto"/>
                <w:lang w:val="en-US" w:eastAsia="zh-CN"/>
              </w:rPr>
              <w:t>新材料产业园</w:t>
            </w:r>
            <w:r>
              <w:rPr>
                <w:rFonts w:hint="default"/>
                <w:color w:val="auto"/>
              </w:rPr>
              <w:t>，因此不进行生态现状调查。</w:t>
            </w:r>
          </w:p>
        </w:tc>
      </w:tr>
      <w:tr w14:paraId="1F2B5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0"/>
            <w:vAlign w:val="center"/>
          </w:tcPr>
          <w:p w14:paraId="0F7405E2">
            <w:pPr>
              <w:adjustRightInd w:val="0"/>
              <w:snapToGrid w:val="0"/>
              <w:jc w:val="center"/>
              <w:rPr>
                <w:rFonts w:hint="default" w:ascii="Times New Roman" w:hAnsi="Times New Roman" w:cs="Times New Roman"/>
                <w:color w:val="auto"/>
                <w:kern w:val="0"/>
                <w:szCs w:val="21"/>
              </w:rPr>
            </w:pPr>
          </w:p>
          <w:p w14:paraId="7D6A4BF1">
            <w:pPr>
              <w:adjustRightInd w:val="0"/>
              <w:snapToGrid w:val="0"/>
              <w:jc w:val="center"/>
              <w:rPr>
                <w:rFonts w:hint="default" w:ascii="Times New Roman" w:hAnsi="Times New Roman" w:cs="Times New Roman"/>
                <w:color w:val="auto"/>
                <w:kern w:val="0"/>
                <w:szCs w:val="21"/>
              </w:rPr>
            </w:pPr>
          </w:p>
          <w:p w14:paraId="65D082FC">
            <w:pPr>
              <w:adjustRightInd w:val="0"/>
              <w:snapToGrid w:val="0"/>
              <w:jc w:val="center"/>
              <w:rPr>
                <w:rFonts w:hint="default" w:ascii="Times New Roman" w:hAnsi="Times New Roman" w:cs="Times New Roman"/>
                <w:color w:val="auto"/>
                <w:kern w:val="0"/>
                <w:szCs w:val="21"/>
              </w:rPr>
            </w:pPr>
          </w:p>
          <w:p w14:paraId="7C466ED2">
            <w:pPr>
              <w:adjustRightInd w:val="0"/>
              <w:snapToGrid w:val="0"/>
              <w:jc w:val="center"/>
              <w:rPr>
                <w:rFonts w:hint="default" w:ascii="Times New Roman" w:hAnsi="Times New Roman" w:cs="Times New Roman"/>
                <w:color w:val="auto"/>
                <w:kern w:val="0"/>
                <w:szCs w:val="21"/>
              </w:rPr>
            </w:pPr>
          </w:p>
          <w:p w14:paraId="7FF5C47B">
            <w:pPr>
              <w:adjustRightInd w:val="0"/>
              <w:snapToGrid w:val="0"/>
              <w:jc w:val="center"/>
              <w:rPr>
                <w:rFonts w:hint="default" w:ascii="Times New Roman" w:hAnsi="Times New Roman" w:cs="Times New Roman"/>
                <w:color w:val="auto"/>
                <w:kern w:val="0"/>
                <w:szCs w:val="21"/>
              </w:rPr>
            </w:pPr>
          </w:p>
          <w:p w14:paraId="79E136E6">
            <w:pPr>
              <w:adjustRightInd w:val="0"/>
              <w:snapToGrid w:val="0"/>
              <w:jc w:val="center"/>
              <w:rPr>
                <w:rFonts w:hint="default" w:ascii="Times New Roman" w:hAnsi="Times New Roman" w:cs="Times New Roman"/>
                <w:color w:val="auto"/>
                <w:kern w:val="0"/>
                <w:szCs w:val="21"/>
              </w:rPr>
            </w:pPr>
          </w:p>
          <w:p w14:paraId="1A7292B8">
            <w:pPr>
              <w:adjustRightInd w:val="0"/>
              <w:snapToGrid w:val="0"/>
              <w:jc w:val="center"/>
              <w:rPr>
                <w:rFonts w:hint="default" w:ascii="Times New Roman" w:hAnsi="Times New Roman" w:cs="Times New Roman"/>
                <w:color w:val="auto"/>
                <w:kern w:val="0"/>
                <w:szCs w:val="21"/>
              </w:rPr>
            </w:pPr>
          </w:p>
          <w:p w14:paraId="48F293FF">
            <w:pPr>
              <w:adjustRightInd w:val="0"/>
              <w:snapToGrid w:val="0"/>
              <w:jc w:val="center"/>
              <w:rPr>
                <w:rFonts w:hint="default" w:ascii="Times New Roman" w:hAnsi="Times New Roman" w:cs="Times New Roman"/>
                <w:color w:val="auto"/>
                <w:kern w:val="0"/>
                <w:szCs w:val="21"/>
              </w:rPr>
            </w:pPr>
          </w:p>
          <w:p w14:paraId="352040AA">
            <w:pPr>
              <w:adjustRightInd w:val="0"/>
              <w:snapToGrid w:val="0"/>
              <w:jc w:val="center"/>
              <w:rPr>
                <w:rFonts w:hint="default" w:ascii="Times New Roman" w:hAnsi="Times New Roman" w:cs="Times New Roman"/>
                <w:color w:val="auto"/>
                <w:kern w:val="0"/>
                <w:szCs w:val="21"/>
              </w:rPr>
            </w:pPr>
          </w:p>
          <w:p w14:paraId="1EF9B154">
            <w:pPr>
              <w:adjustRightInd w:val="0"/>
              <w:snapToGrid w:val="0"/>
              <w:jc w:val="center"/>
              <w:rPr>
                <w:rFonts w:hint="default" w:ascii="Times New Roman" w:hAnsi="Times New Roman" w:cs="Times New Roman"/>
                <w:color w:val="auto"/>
                <w:kern w:val="0"/>
                <w:szCs w:val="21"/>
              </w:rPr>
            </w:pPr>
          </w:p>
          <w:p w14:paraId="6B12EE7E">
            <w:pPr>
              <w:adjustRightInd w:val="0"/>
              <w:snapToGrid w:val="0"/>
              <w:jc w:val="center"/>
              <w:rPr>
                <w:rFonts w:hint="default" w:ascii="Times New Roman" w:hAnsi="Times New Roman" w:cs="Times New Roman"/>
                <w:color w:val="auto"/>
                <w:kern w:val="0"/>
                <w:szCs w:val="21"/>
              </w:rPr>
            </w:pPr>
          </w:p>
          <w:p w14:paraId="17DC0E16">
            <w:pPr>
              <w:adjustRightInd w:val="0"/>
              <w:snapToGrid w:val="0"/>
              <w:jc w:val="center"/>
              <w:rPr>
                <w:rFonts w:hint="default" w:ascii="Times New Roman" w:hAnsi="Times New Roman" w:cs="Times New Roman"/>
                <w:color w:val="auto"/>
                <w:kern w:val="0"/>
                <w:szCs w:val="21"/>
              </w:rPr>
            </w:pPr>
          </w:p>
          <w:p w14:paraId="665525B7">
            <w:pPr>
              <w:adjustRightInd w:val="0"/>
              <w:snapToGrid w:val="0"/>
              <w:jc w:val="center"/>
              <w:rPr>
                <w:rFonts w:hint="default" w:ascii="Times New Roman" w:hAnsi="Times New Roman" w:cs="Times New Roman"/>
                <w:color w:val="auto"/>
                <w:kern w:val="0"/>
                <w:szCs w:val="21"/>
              </w:rPr>
            </w:pPr>
          </w:p>
          <w:p w14:paraId="57EC8329">
            <w:pPr>
              <w:adjustRightInd w:val="0"/>
              <w:snapToGrid w:val="0"/>
              <w:jc w:val="center"/>
              <w:rPr>
                <w:rFonts w:hint="default" w:ascii="Times New Roman" w:hAnsi="Times New Roman" w:cs="Times New Roman"/>
                <w:color w:val="auto"/>
                <w:kern w:val="0"/>
                <w:szCs w:val="21"/>
              </w:rPr>
            </w:pPr>
          </w:p>
          <w:p w14:paraId="114EA4B8">
            <w:pPr>
              <w:adjustRightInd w:val="0"/>
              <w:snapToGrid w:val="0"/>
              <w:jc w:val="center"/>
              <w:rPr>
                <w:rFonts w:hint="default" w:ascii="Times New Roman" w:hAnsi="Times New Roman" w:cs="Times New Roman"/>
                <w:color w:val="auto"/>
                <w:kern w:val="0"/>
                <w:szCs w:val="21"/>
              </w:rPr>
            </w:pPr>
          </w:p>
          <w:p w14:paraId="22D3B355">
            <w:pPr>
              <w:adjustRightInd w:val="0"/>
              <w:snapToGrid w:val="0"/>
              <w:jc w:val="center"/>
              <w:rPr>
                <w:rFonts w:hint="default" w:ascii="Times New Roman" w:hAnsi="Times New Roman" w:cs="Times New Roman"/>
                <w:color w:val="auto"/>
                <w:kern w:val="0"/>
                <w:szCs w:val="21"/>
              </w:rPr>
            </w:pPr>
          </w:p>
          <w:p w14:paraId="000B1017">
            <w:pPr>
              <w:adjustRightInd w:val="0"/>
              <w:snapToGrid w:val="0"/>
              <w:jc w:val="center"/>
              <w:rPr>
                <w:rFonts w:hint="default" w:ascii="Times New Roman" w:hAnsi="Times New Roman" w:cs="Times New Roman"/>
                <w:color w:val="auto"/>
                <w:kern w:val="0"/>
                <w:szCs w:val="21"/>
              </w:rPr>
            </w:pPr>
          </w:p>
          <w:p w14:paraId="4765B719">
            <w:pPr>
              <w:adjustRightInd w:val="0"/>
              <w:snapToGrid w:val="0"/>
              <w:jc w:val="center"/>
              <w:rPr>
                <w:rFonts w:hint="default" w:ascii="Times New Roman" w:hAnsi="Times New Roman" w:cs="Times New Roman"/>
                <w:color w:val="auto"/>
                <w:kern w:val="0"/>
                <w:szCs w:val="21"/>
              </w:rPr>
            </w:pPr>
          </w:p>
          <w:p w14:paraId="317ECE9E">
            <w:pPr>
              <w:adjustRightInd w:val="0"/>
              <w:snapToGrid w:val="0"/>
              <w:jc w:val="center"/>
              <w:rPr>
                <w:rFonts w:hint="default" w:ascii="Times New Roman" w:hAnsi="Times New Roman" w:cs="Times New Roman"/>
                <w:color w:val="auto"/>
                <w:kern w:val="0"/>
                <w:szCs w:val="21"/>
              </w:rPr>
            </w:pPr>
          </w:p>
          <w:p w14:paraId="340BFEE3">
            <w:pPr>
              <w:adjustRightInd w:val="0"/>
              <w:snapToGrid w:val="0"/>
              <w:jc w:val="center"/>
              <w:rPr>
                <w:rFonts w:hint="default" w:ascii="Times New Roman" w:hAnsi="Times New Roman" w:cs="Times New Roman"/>
                <w:color w:val="auto"/>
                <w:kern w:val="0"/>
                <w:szCs w:val="21"/>
              </w:rPr>
            </w:pPr>
          </w:p>
          <w:p w14:paraId="6BA16903">
            <w:pPr>
              <w:adjustRightInd w:val="0"/>
              <w:snapToGrid w:val="0"/>
              <w:jc w:val="center"/>
              <w:rPr>
                <w:rFonts w:hint="default" w:ascii="Times New Roman" w:hAnsi="Times New Roman" w:cs="Times New Roman"/>
                <w:color w:val="auto"/>
                <w:kern w:val="0"/>
                <w:szCs w:val="21"/>
              </w:rPr>
            </w:pPr>
          </w:p>
          <w:p w14:paraId="5C01D4D4">
            <w:pPr>
              <w:adjustRightInd w:val="0"/>
              <w:snapToGrid w:val="0"/>
              <w:jc w:val="center"/>
              <w:rPr>
                <w:rFonts w:hint="default" w:ascii="Times New Roman" w:hAnsi="Times New Roman" w:cs="Times New Roman"/>
                <w:color w:val="auto"/>
                <w:kern w:val="0"/>
                <w:szCs w:val="21"/>
              </w:rPr>
            </w:pPr>
          </w:p>
          <w:p w14:paraId="00C0D6E6">
            <w:pPr>
              <w:adjustRightInd w:val="0"/>
              <w:snapToGrid w:val="0"/>
              <w:jc w:val="center"/>
              <w:rPr>
                <w:rFonts w:hint="default" w:ascii="Times New Roman" w:hAnsi="Times New Roman" w:cs="Times New Roman"/>
                <w:color w:val="auto"/>
                <w:kern w:val="0"/>
                <w:szCs w:val="21"/>
              </w:rPr>
            </w:pPr>
          </w:p>
          <w:p w14:paraId="0FF17488">
            <w:pPr>
              <w:adjustRightInd w:val="0"/>
              <w:snapToGrid w:val="0"/>
              <w:jc w:val="center"/>
              <w:rPr>
                <w:rFonts w:hint="default" w:ascii="Times New Roman" w:hAnsi="Times New Roman" w:cs="Times New Roman"/>
                <w:color w:val="auto"/>
                <w:kern w:val="0"/>
                <w:szCs w:val="21"/>
              </w:rPr>
            </w:pPr>
          </w:p>
          <w:p w14:paraId="0E079AB4">
            <w:pPr>
              <w:adjustRightInd w:val="0"/>
              <w:snapToGrid w:val="0"/>
              <w:jc w:val="center"/>
              <w:rPr>
                <w:rFonts w:hint="default" w:ascii="Times New Roman" w:hAnsi="Times New Roman" w:cs="Times New Roman"/>
                <w:color w:val="auto"/>
                <w:kern w:val="0"/>
                <w:szCs w:val="21"/>
              </w:rPr>
            </w:pPr>
          </w:p>
          <w:p w14:paraId="3353EB4B">
            <w:pPr>
              <w:adjustRightInd w:val="0"/>
              <w:snapToGrid w:val="0"/>
              <w:jc w:val="center"/>
              <w:rPr>
                <w:rFonts w:hint="default" w:ascii="Times New Roman" w:hAnsi="Times New Roman" w:cs="Times New Roman"/>
                <w:color w:val="auto"/>
                <w:kern w:val="0"/>
                <w:szCs w:val="21"/>
              </w:rPr>
            </w:pPr>
          </w:p>
          <w:p w14:paraId="5C66385E">
            <w:pPr>
              <w:adjustRightInd w:val="0"/>
              <w:snapToGrid w:val="0"/>
              <w:jc w:val="center"/>
              <w:rPr>
                <w:rFonts w:hint="default" w:ascii="Times New Roman" w:hAnsi="Times New Roman" w:cs="Times New Roman"/>
                <w:color w:val="auto"/>
                <w:kern w:val="0"/>
                <w:szCs w:val="21"/>
              </w:rPr>
            </w:pPr>
          </w:p>
          <w:p w14:paraId="73D81E94">
            <w:pPr>
              <w:adjustRightInd w:val="0"/>
              <w:snapToGrid w:val="0"/>
              <w:jc w:val="center"/>
              <w:rPr>
                <w:rFonts w:hint="default" w:ascii="Times New Roman" w:hAnsi="Times New Roman" w:cs="Times New Roman"/>
                <w:color w:val="auto"/>
                <w:kern w:val="0"/>
                <w:szCs w:val="21"/>
              </w:rPr>
            </w:pPr>
          </w:p>
          <w:p w14:paraId="68CD030C">
            <w:pPr>
              <w:adjustRightInd w:val="0"/>
              <w:snapToGrid w:val="0"/>
              <w:jc w:val="center"/>
              <w:rPr>
                <w:rFonts w:hint="default" w:ascii="Times New Roman" w:hAnsi="Times New Roman" w:cs="Times New Roman"/>
                <w:color w:val="auto"/>
                <w:kern w:val="0"/>
                <w:szCs w:val="21"/>
              </w:rPr>
            </w:pPr>
          </w:p>
          <w:p w14:paraId="6B1CDF1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33CA4817">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7213371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745" w:type="dxa"/>
            <w:noWrap w:val="0"/>
            <w:vAlign w:val="center"/>
          </w:tcPr>
          <w:p w14:paraId="28940607">
            <w:pPr>
              <w:pStyle w:val="23"/>
              <w:bidi w:val="0"/>
              <w:rPr>
                <w:color w:val="auto"/>
              </w:rPr>
            </w:pPr>
            <w:r>
              <w:rPr>
                <w:color w:val="auto"/>
              </w:rPr>
              <w:t>项目位于</w:t>
            </w:r>
            <w:r>
              <w:rPr>
                <w:rFonts w:hint="default"/>
                <w:color w:val="auto"/>
              </w:rPr>
              <w:t>宁夏回族自治区</w:t>
            </w:r>
            <w:r>
              <w:rPr>
                <w:rFonts w:hint="eastAsia"/>
                <w:color w:val="auto"/>
                <w:lang w:val="en-US" w:eastAsia="zh-CN"/>
              </w:rPr>
              <w:t>固原市经济开发区内</w:t>
            </w:r>
            <w:r>
              <w:rPr>
                <w:color w:val="auto"/>
              </w:rPr>
              <w:t>，根据《建设项目环境保护分类管理名录》中关于环境敏感区的界定原则，项目建设区域不涉及自然保护区、风景名胜区、世界文化和自然遗产地和野生动植物及其栖息地等重要保护目标。</w:t>
            </w:r>
          </w:p>
          <w:p w14:paraId="41BA9A21">
            <w:pPr>
              <w:pStyle w:val="23"/>
              <w:bidi w:val="0"/>
              <w:rPr>
                <w:rFonts w:hint="default"/>
                <w:color w:val="auto"/>
                <w:lang w:val="en-US" w:eastAsia="zh-CN"/>
              </w:rPr>
            </w:pPr>
            <w:r>
              <w:rPr>
                <w:rFonts w:hint="eastAsia"/>
                <w:color w:val="auto"/>
                <w:lang w:val="en-US" w:eastAsia="zh-CN"/>
              </w:rPr>
              <w:t>1.</w:t>
            </w:r>
            <w:r>
              <w:rPr>
                <w:rFonts w:hint="default"/>
                <w:color w:val="auto"/>
                <w:lang w:val="en-US" w:eastAsia="zh-CN"/>
              </w:rPr>
              <w:t>大气环境</w:t>
            </w:r>
            <w:r>
              <w:rPr>
                <w:rFonts w:hint="eastAsia"/>
                <w:color w:val="auto"/>
                <w:lang w:val="en-US" w:eastAsia="zh-CN"/>
              </w:rPr>
              <w:t>：本项目厂界外500米范围内存在农村地区中人群较集中的区域等保护目标：南屯村居民居住点距本项目270m。</w:t>
            </w:r>
          </w:p>
          <w:p w14:paraId="2229F20B">
            <w:pPr>
              <w:pStyle w:val="23"/>
              <w:bidi w:val="0"/>
              <w:rPr>
                <w:rFonts w:hint="default"/>
                <w:color w:val="auto"/>
              </w:rPr>
            </w:pPr>
            <w:r>
              <w:rPr>
                <w:rFonts w:hint="eastAsia"/>
                <w:color w:val="auto"/>
                <w:lang w:val="en-US" w:eastAsia="zh-CN"/>
              </w:rPr>
              <w:t>2.声环境：本项目厂界外50米范围内无声环境保护目标。</w:t>
            </w:r>
          </w:p>
          <w:p w14:paraId="5A370403">
            <w:pPr>
              <w:pStyle w:val="23"/>
              <w:bidi w:val="0"/>
              <w:rPr>
                <w:rFonts w:hint="default"/>
                <w:color w:val="auto"/>
              </w:rPr>
            </w:pPr>
            <w:r>
              <w:rPr>
                <w:rFonts w:hint="eastAsia"/>
                <w:color w:val="auto"/>
                <w:lang w:val="en-US" w:eastAsia="zh-CN"/>
              </w:rPr>
              <w:t>3.地下水环境：本项目厂界外500米范围内无地下水集中式饮用水水源和热水、矿泉水、温泉等特殊地下水资源。</w:t>
            </w:r>
          </w:p>
          <w:p w14:paraId="22E1867B">
            <w:pPr>
              <w:pStyle w:val="23"/>
              <w:bidi w:val="0"/>
              <w:rPr>
                <w:rFonts w:hint="eastAsia"/>
                <w:color w:val="auto"/>
                <w:lang w:val="en-US" w:eastAsia="zh-CN"/>
              </w:rPr>
            </w:pPr>
            <w:r>
              <w:rPr>
                <w:rFonts w:hint="eastAsia"/>
                <w:color w:val="auto"/>
                <w:lang w:val="en-US" w:eastAsia="zh-CN"/>
              </w:rPr>
              <w:t>4.地表水环境：西干渠距本项目195m，冬至河距本项目2km。</w:t>
            </w:r>
          </w:p>
          <w:p w14:paraId="25F2F4C3">
            <w:pPr>
              <w:pStyle w:val="25"/>
              <w:bidi w:val="0"/>
              <w:rPr>
                <w:rFonts w:hint="default"/>
                <w:color w:val="auto"/>
                <w:lang w:val="en-US" w:eastAsia="zh-CN"/>
              </w:rPr>
            </w:pPr>
            <w:r>
              <w:rPr>
                <w:rFonts w:hint="eastAsia"/>
                <w:color w:val="auto"/>
                <w:lang w:val="en-US" w:eastAsia="zh-CN"/>
              </w:rPr>
              <w:t>表3-5                环境保护目标一览表</w:t>
            </w:r>
          </w:p>
          <w:tbl>
            <w:tblPr>
              <w:tblStyle w:val="18"/>
              <w:tblpPr w:leftFromText="180" w:rightFromText="180" w:vertAnchor="text" w:tblpY="1"/>
              <w:tblOverlap w:val="never"/>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538"/>
              <w:gridCol w:w="1057"/>
              <w:gridCol w:w="730"/>
              <w:gridCol w:w="572"/>
              <w:gridCol w:w="917"/>
              <w:gridCol w:w="866"/>
              <w:gridCol w:w="2079"/>
            </w:tblGrid>
            <w:tr w14:paraId="33B66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5" w:type="dxa"/>
                  <w:noWrap w:val="0"/>
                  <w:vAlign w:val="center"/>
                </w:tcPr>
                <w:p w14:paraId="0528DB9D">
                  <w:pPr>
                    <w:pStyle w:val="24"/>
                    <w:bidi w:val="0"/>
                    <w:jc w:val="center"/>
                    <w:rPr>
                      <w:rFonts w:hint="default"/>
                      <w:b/>
                      <w:bCs/>
                      <w:color w:val="auto"/>
                      <w:lang w:val="en-US" w:eastAsia="zh-CN"/>
                    </w:rPr>
                  </w:pPr>
                  <w:r>
                    <w:rPr>
                      <w:rFonts w:hint="eastAsia"/>
                      <w:b/>
                      <w:bCs/>
                      <w:color w:val="auto"/>
                      <w:lang w:val="en-US" w:eastAsia="zh-CN"/>
                    </w:rPr>
                    <w:t>环境要素</w:t>
                  </w:r>
                </w:p>
              </w:tc>
              <w:tc>
                <w:tcPr>
                  <w:tcW w:w="1538" w:type="dxa"/>
                  <w:noWrap w:val="0"/>
                  <w:vAlign w:val="center"/>
                </w:tcPr>
                <w:p w14:paraId="5B4ED395">
                  <w:pPr>
                    <w:pStyle w:val="24"/>
                    <w:bidi w:val="0"/>
                    <w:jc w:val="center"/>
                    <w:rPr>
                      <w:rFonts w:hint="default"/>
                      <w:b/>
                      <w:bCs/>
                      <w:color w:val="auto"/>
                      <w:lang w:val="en-US" w:eastAsia="zh-CN"/>
                    </w:rPr>
                  </w:pPr>
                  <w:r>
                    <w:rPr>
                      <w:rFonts w:hint="eastAsia"/>
                      <w:b/>
                      <w:bCs/>
                      <w:color w:val="auto"/>
                      <w:lang w:val="en-US" w:eastAsia="zh-CN"/>
                    </w:rPr>
                    <w:t>坐标</w:t>
                  </w:r>
                </w:p>
              </w:tc>
              <w:tc>
                <w:tcPr>
                  <w:tcW w:w="1057" w:type="dxa"/>
                  <w:noWrap w:val="0"/>
                  <w:vAlign w:val="center"/>
                </w:tcPr>
                <w:p w14:paraId="3C8397D6">
                  <w:pPr>
                    <w:pStyle w:val="24"/>
                    <w:bidi w:val="0"/>
                    <w:jc w:val="center"/>
                    <w:rPr>
                      <w:rFonts w:hint="default"/>
                      <w:b/>
                      <w:bCs/>
                      <w:color w:val="auto"/>
                      <w:lang w:val="en-US" w:eastAsia="zh-CN"/>
                    </w:rPr>
                  </w:pPr>
                  <w:r>
                    <w:rPr>
                      <w:rFonts w:hint="eastAsia"/>
                      <w:b/>
                      <w:bCs/>
                      <w:color w:val="auto"/>
                      <w:lang w:val="en-US" w:eastAsia="zh-CN"/>
                    </w:rPr>
                    <w:t>保护对象</w:t>
                  </w:r>
                </w:p>
              </w:tc>
              <w:tc>
                <w:tcPr>
                  <w:tcW w:w="730" w:type="dxa"/>
                  <w:noWrap w:val="0"/>
                  <w:vAlign w:val="center"/>
                </w:tcPr>
                <w:p w14:paraId="1B02EFE5">
                  <w:pPr>
                    <w:pStyle w:val="24"/>
                    <w:bidi w:val="0"/>
                    <w:jc w:val="center"/>
                    <w:rPr>
                      <w:rFonts w:hint="default"/>
                      <w:b/>
                      <w:bCs/>
                      <w:color w:val="auto"/>
                      <w:lang w:val="en-US" w:eastAsia="zh-CN"/>
                    </w:rPr>
                  </w:pPr>
                  <w:r>
                    <w:rPr>
                      <w:rFonts w:hint="eastAsia"/>
                      <w:b/>
                      <w:bCs/>
                      <w:color w:val="auto"/>
                      <w:lang w:val="en-US" w:eastAsia="zh-CN"/>
                    </w:rPr>
                    <w:t>保护内容</w:t>
                  </w:r>
                </w:p>
              </w:tc>
              <w:tc>
                <w:tcPr>
                  <w:tcW w:w="572" w:type="dxa"/>
                  <w:noWrap w:val="0"/>
                  <w:vAlign w:val="center"/>
                </w:tcPr>
                <w:p w14:paraId="03420FF3">
                  <w:pPr>
                    <w:pStyle w:val="24"/>
                    <w:bidi w:val="0"/>
                    <w:jc w:val="center"/>
                    <w:rPr>
                      <w:rFonts w:hint="default"/>
                      <w:b/>
                      <w:bCs/>
                      <w:color w:val="auto"/>
                      <w:lang w:val="en-US" w:eastAsia="zh-CN"/>
                    </w:rPr>
                  </w:pPr>
                  <w:r>
                    <w:rPr>
                      <w:rFonts w:hint="eastAsia"/>
                      <w:b/>
                      <w:bCs/>
                      <w:color w:val="auto"/>
                      <w:lang w:val="en-US" w:eastAsia="zh-CN"/>
                    </w:rPr>
                    <w:t>人数</w:t>
                  </w:r>
                </w:p>
              </w:tc>
              <w:tc>
                <w:tcPr>
                  <w:tcW w:w="917" w:type="dxa"/>
                  <w:noWrap w:val="0"/>
                  <w:vAlign w:val="center"/>
                </w:tcPr>
                <w:p w14:paraId="0BFA5236">
                  <w:pPr>
                    <w:pStyle w:val="24"/>
                    <w:bidi w:val="0"/>
                    <w:jc w:val="center"/>
                    <w:rPr>
                      <w:rFonts w:hint="default"/>
                      <w:b/>
                      <w:bCs/>
                      <w:color w:val="auto"/>
                      <w:lang w:val="en-US" w:eastAsia="zh-CN"/>
                    </w:rPr>
                  </w:pPr>
                  <w:r>
                    <w:rPr>
                      <w:rFonts w:hint="eastAsia"/>
                      <w:b/>
                      <w:bCs/>
                      <w:color w:val="auto"/>
                      <w:lang w:val="en-US" w:eastAsia="zh-CN"/>
                    </w:rPr>
                    <w:t>相对厂址方位</w:t>
                  </w:r>
                </w:p>
              </w:tc>
              <w:tc>
                <w:tcPr>
                  <w:tcW w:w="866" w:type="dxa"/>
                  <w:noWrap w:val="0"/>
                  <w:vAlign w:val="center"/>
                </w:tcPr>
                <w:p w14:paraId="4B7653E4">
                  <w:pPr>
                    <w:pStyle w:val="24"/>
                    <w:bidi w:val="0"/>
                    <w:jc w:val="center"/>
                    <w:rPr>
                      <w:rFonts w:hint="default"/>
                      <w:b/>
                      <w:bCs/>
                      <w:color w:val="auto"/>
                      <w:lang w:val="en-US" w:eastAsia="zh-CN"/>
                    </w:rPr>
                  </w:pPr>
                  <w:r>
                    <w:rPr>
                      <w:rFonts w:hint="eastAsia"/>
                      <w:b/>
                      <w:bCs/>
                      <w:color w:val="auto"/>
                      <w:lang w:val="en-US" w:eastAsia="zh-CN"/>
                    </w:rPr>
                    <w:t>相对厂界距离</w:t>
                  </w:r>
                </w:p>
              </w:tc>
              <w:tc>
                <w:tcPr>
                  <w:tcW w:w="2079" w:type="dxa"/>
                  <w:noWrap w:val="0"/>
                  <w:vAlign w:val="center"/>
                </w:tcPr>
                <w:p w14:paraId="225D11D7">
                  <w:pPr>
                    <w:pStyle w:val="24"/>
                    <w:bidi w:val="0"/>
                    <w:jc w:val="center"/>
                    <w:rPr>
                      <w:rFonts w:hint="default"/>
                      <w:b/>
                      <w:bCs/>
                      <w:color w:val="auto"/>
                      <w:lang w:val="en-US" w:eastAsia="zh-CN"/>
                    </w:rPr>
                  </w:pPr>
                  <w:r>
                    <w:rPr>
                      <w:rFonts w:hint="eastAsia"/>
                      <w:b/>
                      <w:bCs/>
                      <w:color w:val="auto"/>
                      <w:lang w:val="en-US" w:eastAsia="zh-CN"/>
                    </w:rPr>
                    <w:t>执行标准</w:t>
                  </w:r>
                </w:p>
              </w:tc>
            </w:tr>
            <w:tr w14:paraId="725EFD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745" w:type="dxa"/>
                  <w:vMerge w:val="restart"/>
                  <w:noWrap w:val="0"/>
                  <w:vAlign w:val="center"/>
                </w:tcPr>
                <w:p w14:paraId="5BF30683">
                  <w:pPr>
                    <w:pStyle w:val="24"/>
                    <w:bidi w:val="0"/>
                    <w:jc w:val="center"/>
                    <w:rPr>
                      <w:rFonts w:hint="default"/>
                      <w:color w:val="auto"/>
                      <w:lang w:val="en-US" w:eastAsia="zh-CN"/>
                    </w:rPr>
                  </w:pPr>
                  <w:r>
                    <w:rPr>
                      <w:rFonts w:hint="eastAsia"/>
                      <w:color w:val="auto"/>
                      <w:lang w:val="en-US" w:eastAsia="zh-CN"/>
                    </w:rPr>
                    <w:t>环境空气</w:t>
                  </w:r>
                </w:p>
              </w:tc>
              <w:tc>
                <w:tcPr>
                  <w:tcW w:w="1538" w:type="dxa"/>
                  <w:noWrap w:val="0"/>
                  <w:vAlign w:val="center"/>
                </w:tcPr>
                <w:p w14:paraId="616ECFC9">
                  <w:pPr>
                    <w:pStyle w:val="24"/>
                    <w:bidi w:val="0"/>
                    <w:jc w:val="center"/>
                    <w:rPr>
                      <w:rFonts w:hint="default"/>
                      <w:color w:val="auto"/>
                      <w:lang w:val="en-US" w:eastAsia="zh-CN"/>
                    </w:rPr>
                  </w:pPr>
                  <w:r>
                    <w:rPr>
                      <w:rFonts w:hint="default"/>
                      <w:color w:val="auto"/>
                      <w:lang w:val="en-US" w:eastAsia="zh-CN"/>
                    </w:rPr>
                    <w:t>106°09′45.109″</w:t>
                  </w:r>
                </w:p>
              </w:tc>
              <w:tc>
                <w:tcPr>
                  <w:tcW w:w="1057" w:type="dxa"/>
                  <w:vMerge w:val="restart"/>
                  <w:noWrap w:val="0"/>
                  <w:vAlign w:val="center"/>
                </w:tcPr>
                <w:p w14:paraId="039BB538">
                  <w:pPr>
                    <w:pStyle w:val="24"/>
                    <w:bidi w:val="0"/>
                    <w:jc w:val="center"/>
                    <w:rPr>
                      <w:rFonts w:hint="default"/>
                      <w:color w:val="auto"/>
                      <w:lang w:val="en-US" w:eastAsia="zh-CN"/>
                    </w:rPr>
                  </w:pPr>
                  <w:r>
                    <w:rPr>
                      <w:rFonts w:hint="eastAsia"/>
                      <w:color w:val="auto"/>
                      <w:lang w:val="en-US" w:eastAsia="zh-CN"/>
                    </w:rPr>
                    <w:t>南屯村</w:t>
                  </w:r>
                </w:p>
              </w:tc>
              <w:tc>
                <w:tcPr>
                  <w:tcW w:w="730" w:type="dxa"/>
                  <w:vMerge w:val="restart"/>
                  <w:noWrap w:val="0"/>
                  <w:vAlign w:val="center"/>
                </w:tcPr>
                <w:p w14:paraId="5F337617">
                  <w:pPr>
                    <w:pStyle w:val="24"/>
                    <w:bidi w:val="0"/>
                    <w:jc w:val="center"/>
                    <w:rPr>
                      <w:rFonts w:hint="default"/>
                      <w:color w:val="auto"/>
                      <w:lang w:val="en-US" w:eastAsia="zh-CN"/>
                    </w:rPr>
                  </w:pPr>
                  <w:r>
                    <w:rPr>
                      <w:rFonts w:hint="eastAsia"/>
                      <w:color w:val="auto"/>
                      <w:lang w:val="en-US" w:eastAsia="zh-CN"/>
                    </w:rPr>
                    <w:t>居民</w:t>
                  </w:r>
                </w:p>
              </w:tc>
              <w:tc>
                <w:tcPr>
                  <w:tcW w:w="572" w:type="dxa"/>
                  <w:vMerge w:val="restart"/>
                  <w:noWrap w:val="0"/>
                  <w:vAlign w:val="center"/>
                </w:tcPr>
                <w:p w14:paraId="212FA623">
                  <w:pPr>
                    <w:pStyle w:val="24"/>
                    <w:bidi w:val="0"/>
                    <w:jc w:val="center"/>
                    <w:rPr>
                      <w:rFonts w:hint="default"/>
                      <w:color w:val="auto"/>
                      <w:lang w:val="en-US" w:eastAsia="zh-CN"/>
                    </w:rPr>
                  </w:pPr>
                  <w:r>
                    <w:rPr>
                      <w:rFonts w:hint="eastAsia"/>
                      <w:color w:val="auto"/>
                      <w:lang w:val="en-US" w:eastAsia="zh-CN"/>
                    </w:rPr>
                    <w:t>78</w:t>
                  </w:r>
                </w:p>
              </w:tc>
              <w:tc>
                <w:tcPr>
                  <w:tcW w:w="917" w:type="dxa"/>
                  <w:vMerge w:val="restart"/>
                  <w:noWrap w:val="0"/>
                  <w:vAlign w:val="center"/>
                </w:tcPr>
                <w:p w14:paraId="2CF35289">
                  <w:pPr>
                    <w:pStyle w:val="24"/>
                    <w:bidi w:val="0"/>
                    <w:jc w:val="center"/>
                    <w:rPr>
                      <w:rFonts w:hint="default"/>
                      <w:color w:val="auto"/>
                      <w:lang w:val="en-US" w:eastAsia="zh-CN"/>
                    </w:rPr>
                  </w:pPr>
                  <w:r>
                    <w:rPr>
                      <w:rFonts w:hint="eastAsia"/>
                      <w:color w:val="auto"/>
                      <w:lang w:val="en-US" w:eastAsia="zh-CN"/>
                    </w:rPr>
                    <w:t>SE</w:t>
                  </w:r>
                </w:p>
              </w:tc>
              <w:tc>
                <w:tcPr>
                  <w:tcW w:w="866" w:type="dxa"/>
                  <w:vMerge w:val="restart"/>
                  <w:noWrap w:val="0"/>
                  <w:vAlign w:val="center"/>
                </w:tcPr>
                <w:p w14:paraId="747BD0EC">
                  <w:pPr>
                    <w:pStyle w:val="24"/>
                    <w:bidi w:val="0"/>
                    <w:jc w:val="center"/>
                    <w:rPr>
                      <w:rFonts w:hint="default"/>
                      <w:color w:val="auto"/>
                      <w:lang w:val="en-US" w:eastAsia="zh-CN"/>
                    </w:rPr>
                  </w:pPr>
                  <w:r>
                    <w:rPr>
                      <w:rFonts w:hint="eastAsia"/>
                      <w:color w:val="auto"/>
                      <w:lang w:val="en-US" w:eastAsia="zh-CN"/>
                    </w:rPr>
                    <w:t>270m</w:t>
                  </w:r>
                </w:p>
              </w:tc>
              <w:tc>
                <w:tcPr>
                  <w:tcW w:w="2079" w:type="dxa"/>
                  <w:vMerge w:val="restart"/>
                  <w:noWrap w:val="0"/>
                  <w:vAlign w:val="center"/>
                </w:tcPr>
                <w:p w14:paraId="48905E2C">
                  <w:pPr>
                    <w:pStyle w:val="24"/>
                    <w:bidi w:val="0"/>
                    <w:jc w:val="center"/>
                    <w:rPr>
                      <w:rFonts w:hint="default"/>
                      <w:color w:val="auto"/>
                      <w:lang w:val="en-US" w:eastAsia="zh-CN"/>
                    </w:rPr>
                  </w:pPr>
                  <w:r>
                    <w:rPr>
                      <w:rFonts w:hint="eastAsia"/>
                      <w:color w:val="auto"/>
                      <w:lang w:val="en-US" w:eastAsia="zh-CN"/>
                    </w:rPr>
                    <w:t>《环境空气质量标准》（GB3095-2012）二级标准</w:t>
                  </w:r>
                </w:p>
              </w:tc>
            </w:tr>
            <w:tr w14:paraId="03192F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5" w:type="dxa"/>
                  <w:vMerge w:val="continue"/>
                  <w:noWrap w:val="0"/>
                  <w:vAlign w:val="center"/>
                </w:tcPr>
                <w:p w14:paraId="6040E622">
                  <w:pPr>
                    <w:pStyle w:val="24"/>
                    <w:bidi w:val="0"/>
                    <w:jc w:val="center"/>
                    <w:rPr>
                      <w:color w:val="auto"/>
                    </w:rPr>
                  </w:pPr>
                </w:p>
              </w:tc>
              <w:tc>
                <w:tcPr>
                  <w:tcW w:w="1538" w:type="dxa"/>
                  <w:noWrap w:val="0"/>
                  <w:vAlign w:val="center"/>
                </w:tcPr>
                <w:p w14:paraId="0DABE5FD">
                  <w:pPr>
                    <w:pStyle w:val="24"/>
                    <w:bidi w:val="0"/>
                    <w:jc w:val="center"/>
                    <w:rPr>
                      <w:rFonts w:hint="default"/>
                      <w:color w:val="auto"/>
                      <w:lang w:val="en-US" w:eastAsia="zh-CN"/>
                    </w:rPr>
                  </w:pPr>
                  <w:r>
                    <w:rPr>
                      <w:rFonts w:hint="default"/>
                      <w:color w:val="auto"/>
                      <w:lang w:val="en-US" w:eastAsia="zh-CN"/>
                    </w:rPr>
                    <w:t>36°10′32.728″</w:t>
                  </w:r>
                </w:p>
              </w:tc>
              <w:tc>
                <w:tcPr>
                  <w:tcW w:w="1057" w:type="dxa"/>
                  <w:vMerge w:val="continue"/>
                  <w:noWrap w:val="0"/>
                  <w:vAlign w:val="center"/>
                </w:tcPr>
                <w:p w14:paraId="442B1254">
                  <w:pPr>
                    <w:pStyle w:val="24"/>
                    <w:bidi w:val="0"/>
                    <w:jc w:val="center"/>
                    <w:rPr>
                      <w:rFonts w:hint="default"/>
                      <w:color w:val="auto"/>
                      <w:lang w:val="en-US" w:eastAsia="zh-CN"/>
                    </w:rPr>
                  </w:pPr>
                </w:p>
              </w:tc>
              <w:tc>
                <w:tcPr>
                  <w:tcW w:w="730" w:type="dxa"/>
                  <w:vMerge w:val="continue"/>
                  <w:noWrap w:val="0"/>
                  <w:vAlign w:val="center"/>
                </w:tcPr>
                <w:p w14:paraId="2A2A4136">
                  <w:pPr>
                    <w:pStyle w:val="24"/>
                    <w:bidi w:val="0"/>
                    <w:jc w:val="center"/>
                    <w:rPr>
                      <w:rFonts w:hint="default"/>
                      <w:color w:val="auto"/>
                      <w:lang w:val="en-US" w:eastAsia="zh-CN"/>
                    </w:rPr>
                  </w:pPr>
                </w:p>
              </w:tc>
              <w:tc>
                <w:tcPr>
                  <w:tcW w:w="572" w:type="dxa"/>
                  <w:vMerge w:val="continue"/>
                  <w:noWrap w:val="0"/>
                  <w:vAlign w:val="center"/>
                </w:tcPr>
                <w:p w14:paraId="73627C6B">
                  <w:pPr>
                    <w:pStyle w:val="24"/>
                    <w:bidi w:val="0"/>
                    <w:jc w:val="center"/>
                    <w:rPr>
                      <w:rFonts w:hint="default"/>
                      <w:color w:val="auto"/>
                      <w:lang w:val="en-US" w:eastAsia="zh-CN"/>
                    </w:rPr>
                  </w:pPr>
                </w:p>
              </w:tc>
              <w:tc>
                <w:tcPr>
                  <w:tcW w:w="917" w:type="dxa"/>
                  <w:vMerge w:val="continue"/>
                  <w:noWrap w:val="0"/>
                  <w:vAlign w:val="center"/>
                </w:tcPr>
                <w:p w14:paraId="468D8D44">
                  <w:pPr>
                    <w:pStyle w:val="24"/>
                    <w:bidi w:val="0"/>
                    <w:jc w:val="center"/>
                    <w:rPr>
                      <w:rFonts w:hint="default"/>
                      <w:color w:val="auto"/>
                      <w:lang w:val="en-US" w:eastAsia="zh-CN"/>
                    </w:rPr>
                  </w:pPr>
                </w:p>
              </w:tc>
              <w:tc>
                <w:tcPr>
                  <w:tcW w:w="866" w:type="dxa"/>
                  <w:vMerge w:val="continue"/>
                  <w:noWrap w:val="0"/>
                  <w:vAlign w:val="center"/>
                </w:tcPr>
                <w:p w14:paraId="4107E617">
                  <w:pPr>
                    <w:pStyle w:val="24"/>
                    <w:bidi w:val="0"/>
                    <w:jc w:val="center"/>
                    <w:rPr>
                      <w:rFonts w:hint="default"/>
                      <w:color w:val="auto"/>
                      <w:lang w:val="en-US" w:eastAsia="zh-CN"/>
                    </w:rPr>
                  </w:pPr>
                </w:p>
              </w:tc>
              <w:tc>
                <w:tcPr>
                  <w:tcW w:w="2079" w:type="dxa"/>
                  <w:vMerge w:val="continue"/>
                  <w:noWrap w:val="0"/>
                  <w:vAlign w:val="center"/>
                </w:tcPr>
                <w:p w14:paraId="04025BF3">
                  <w:pPr>
                    <w:pStyle w:val="24"/>
                    <w:bidi w:val="0"/>
                    <w:jc w:val="center"/>
                    <w:rPr>
                      <w:rFonts w:hint="default"/>
                      <w:color w:val="auto"/>
                      <w:lang w:val="en-US" w:eastAsia="zh-CN"/>
                    </w:rPr>
                  </w:pPr>
                </w:p>
              </w:tc>
            </w:tr>
            <w:tr w14:paraId="009B65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745" w:type="dxa"/>
                  <w:vMerge w:val="restart"/>
                  <w:noWrap w:val="0"/>
                  <w:vAlign w:val="center"/>
                </w:tcPr>
                <w:p w14:paraId="0B37A8D3">
                  <w:pPr>
                    <w:pStyle w:val="24"/>
                    <w:bidi w:val="0"/>
                    <w:jc w:val="center"/>
                    <w:rPr>
                      <w:rFonts w:hint="default"/>
                      <w:color w:val="auto"/>
                      <w:lang w:val="en-US" w:eastAsia="zh-CN"/>
                    </w:rPr>
                  </w:pPr>
                  <w:r>
                    <w:rPr>
                      <w:rFonts w:hint="eastAsia"/>
                      <w:color w:val="auto"/>
                      <w:lang w:val="en-US" w:eastAsia="zh-CN"/>
                    </w:rPr>
                    <w:t>地表水</w:t>
                  </w:r>
                </w:p>
              </w:tc>
              <w:tc>
                <w:tcPr>
                  <w:tcW w:w="1538" w:type="dxa"/>
                  <w:noWrap w:val="0"/>
                  <w:vAlign w:val="center"/>
                </w:tcPr>
                <w:p w14:paraId="0341202B">
                  <w:pPr>
                    <w:pStyle w:val="24"/>
                    <w:bidi w:val="0"/>
                    <w:jc w:val="center"/>
                    <w:rPr>
                      <w:rFonts w:hint="default"/>
                      <w:color w:val="auto"/>
                      <w:lang w:val="en-US" w:eastAsia="zh-CN"/>
                    </w:rPr>
                  </w:pPr>
                  <w:r>
                    <w:rPr>
                      <w:rFonts w:hint="default"/>
                      <w:color w:val="auto"/>
                      <w:lang w:val="en-US" w:eastAsia="zh-CN"/>
                    </w:rPr>
                    <w:t>106°10′56.215″</w:t>
                  </w:r>
                </w:p>
              </w:tc>
              <w:tc>
                <w:tcPr>
                  <w:tcW w:w="1787" w:type="dxa"/>
                  <w:gridSpan w:val="2"/>
                  <w:vMerge w:val="restart"/>
                  <w:noWrap w:val="0"/>
                  <w:vAlign w:val="center"/>
                </w:tcPr>
                <w:p w14:paraId="1E30654A">
                  <w:pPr>
                    <w:pStyle w:val="24"/>
                    <w:bidi w:val="0"/>
                    <w:jc w:val="center"/>
                    <w:rPr>
                      <w:rFonts w:hint="eastAsia"/>
                      <w:color w:val="auto"/>
                      <w:lang w:val="en-US" w:eastAsia="zh-CN"/>
                    </w:rPr>
                  </w:pPr>
                  <w:r>
                    <w:rPr>
                      <w:rFonts w:hint="eastAsia"/>
                      <w:color w:val="auto"/>
                      <w:lang w:val="en-US" w:eastAsia="zh-CN"/>
                    </w:rPr>
                    <w:t>冬至河</w:t>
                  </w:r>
                </w:p>
              </w:tc>
              <w:tc>
                <w:tcPr>
                  <w:tcW w:w="572" w:type="dxa"/>
                  <w:vMerge w:val="restart"/>
                  <w:noWrap w:val="0"/>
                  <w:vAlign w:val="center"/>
                </w:tcPr>
                <w:p w14:paraId="2617C044">
                  <w:pPr>
                    <w:pStyle w:val="24"/>
                    <w:bidi w:val="0"/>
                    <w:jc w:val="center"/>
                    <w:rPr>
                      <w:rFonts w:hint="default"/>
                      <w:color w:val="auto"/>
                      <w:lang w:val="en-US" w:eastAsia="zh-CN"/>
                    </w:rPr>
                  </w:pPr>
                  <w:r>
                    <w:rPr>
                      <w:rFonts w:hint="eastAsia"/>
                      <w:color w:val="auto"/>
                      <w:lang w:val="en-US" w:eastAsia="zh-CN"/>
                    </w:rPr>
                    <w:t>/</w:t>
                  </w:r>
                </w:p>
              </w:tc>
              <w:tc>
                <w:tcPr>
                  <w:tcW w:w="917" w:type="dxa"/>
                  <w:vMerge w:val="restart"/>
                  <w:noWrap w:val="0"/>
                  <w:vAlign w:val="center"/>
                </w:tcPr>
                <w:p w14:paraId="0FE52AA2">
                  <w:pPr>
                    <w:pStyle w:val="24"/>
                    <w:bidi w:val="0"/>
                    <w:jc w:val="center"/>
                    <w:rPr>
                      <w:rFonts w:hint="default"/>
                      <w:color w:val="auto"/>
                      <w:lang w:val="en-US" w:eastAsia="zh-CN"/>
                    </w:rPr>
                  </w:pPr>
                  <w:r>
                    <w:rPr>
                      <w:rFonts w:hint="eastAsia"/>
                      <w:color w:val="auto"/>
                      <w:lang w:val="en-US" w:eastAsia="zh-CN"/>
                    </w:rPr>
                    <w:t>E</w:t>
                  </w:r>
                </w:p>
              </w:tc>
              <w:tc>
                <w:tcPr>
                  <w:tcW w:w="866" w:type="dxa"/>
                  <w:vMerge w:val="restart"/>
                  <w:noWrap w:val="0"/>
                  <w:vAlign w:val="center"/>
                </w:tcPr>
                <w:p w14:paraId="3A3349B9">
                  <w:pPr>
                    <w:pStyle w:val="24"/>
                    <w:bidi w:val="0"/>
                    <w:jc w:val="center"/>
                    <w:rPr>
                      <w:rFonts w:hint="default"/>
                      <w:color w:val="auto"/>
                      <w:lang w:val="en-US" w:eastAsia="zh-CN"/>
                    </w:rPr>
                  </w:pPr>
                  <w:r>
                    <w:rPr>
                      <w:rFonts w:hint="eastAsia"/>
                      <w:color w:val="auto"/>
                      <w:lang w:val="en-US" w:eastAsia="zh-CN"/>
                    </w:rPr>
                    <w:t>1.98km</w:t>
                  </w:r>
                </w:p>
              </w:tc>
              <w:tc>
                <w:tcPr>
                  <w:tcW w:w="2079" w:type="dxa"/>
                  <w:vMerge w:val="restart"/>
                  <w:noWrap w:val="0"/>
                  <w:vAlign w:val="center"/>
                </w:tcPr>
                <w:p w14:paraId="00429661">
                  <w:pPr>
                    <w:pStyle w:val="24"/>
                    <w:bidi w:val="0"/>
                    <w:jc w:val="center"/>
                    <w:rPr>
                      <w:rFonts w:hint="eastAsia"/>
                      <w:color w:val="auto"/>
                      <w:lang w:val="en-US" w:eastAsia="zh-CN"/>
                    </w:rPr>
                  </w:pPr>
                  <w:r>
                    <w:rPr>
                      <w:rFonts w:hint="default"/>
                      <w:color w:val="auto"/>
                      <w:lang w:val="en-US" w:eastAsia="zh-CN"/>
                    </w:rPr>
                    <w:t>《地表水环境质量标准》（GB3838-2002）</w:t>
                  </w:r>
                  <w:r>
                    <w:rPr>
                      <w:rFonts w:hint="default" w:ascii="Times New Roman" w:hAnsi="Times New Roman" w:cs="Times New Roman"/>
                      <w:color w:val="auto"/>
                      <w:lang w:val="en-US" w:eastAsia="zh-CN"/>
                    </w:rPr>
                    <w:t>Ⅳ</w:t>
                  </w:r>
                  <w:r>
                    <w:rPr>
                      <w:rFonts w:hint="default"/>
                      <w:color w:val="auto"/>
                      <w:lang w:val="en-US" w:eastAsia="zh-CN"/>
                    </w:rPr>
                    <w:t>类标准</w:t>
                  </w:r>
                </w:p>
              </w:tc>
            </w:tr>
            <w:tr w14:paraId="64A37D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45" w:type="dxa"/>
                  <w:vMerge w:val="continue"/>
                  <w:noWrap w:val="0"/>
                  <w:vAlign w:val="center"/>
                </w:tcPr>
                <w:p w14:paraId="46A8BAE7">
                  <w:pPr>
                    <w:pStyle w:val="24"/>
                    <w:bidi w:val="0"/>
                    <w:jc w:val="center"/>
                    <w:rPr>
                      <w:color w:val="auto"/>
                    </w:rPr>
                  </w:pPr>
                </w:p>
              </w:tc>
              <w:tc>
                <w:tcPr>
                  <w:tcW w:w="1538" w:type="dxa"/>
                  <w:noWrap w:val="0"/>
                  <w:vAlign w:val="center"/>
                </w:tcPr>
                <w:p w14:paraId="1D4E1345">
                  <w:pPr>
                    <w:pStyle w:val="24"/>
                    <w:bidi w:val="0"/>
                    <w:jc w:val="center"/>
                    <w:rPr>
                      <w:rFonts w:hint="default"/>
                      <w:color w:val="auto"/>
                      <w:lang w:val="en-US" w:eastAsia="zh-CN"/>
                    </w:rPr>
                  </w:pPr>
                  <w:r>
                    <w:rPr>
                      <w:rFonts w:hint="default"/>
                      <w:color w:val="auto"/>
                      <w:lang w:val="en-US" w:eastAsia="zh-CN"/>
                    </w:rPr>
                    <w:t>36°10′36.088″</w:t>
                  </w:r>
                </w:p>
              </w:tc>
              <w:tc>
                <w:tcPr>
                  <w:tcW w:w="1787" w:type="dxa"/>
                  <w:gridSpan w:val="2"/>
                  <w:vMerge w:val="continue"/>
                  <w:noWrap w:val="0"/>
                  <w:vAlign w:val="center"/>
                </w:tcPr>
                <w:p w14:paraId="5B9DF770">
                  <w:pPr>
                    <w:pStyle w:val="24"/>
                    <w:bidi w:val="0"/>
                    <w:jc w:val="center"/>
                    <w:rPr>
                      <w:rFonts w:hint="default"/>
                      <w:color w:val="auto"/>
                      <w:lang w:val="en-US" w:eastAsia="zh-CN"/>
                    </w:rPr>
                  </w:pPr>
                </w:p>
              </w:tc>
              <w:tc>
                <w:tcPr>
                  <w:tcW w:w="572" w:type="dxa"/>
                  <w:vMerge w:val="continue"/>
                  <w:noWrap w:val="0"/>
                  <w:vAlign w:val="center"/>
                </w:tcPr>
                <w:p w14:paraId="12489755">
                  <w:pPr>
                    <w:pStyle w:val="24"/>
                    <w:bidi w:val="0"/>
                    <w:jc w:val="center"/>
                    <w:rPr>
                      <w:rFonts w:hint="default"/>
                      <w:color w:val="auto"/>
                      <w:lang w:val="en-US" w:eastAsia="zh-CN"/>
                    </w:rPr>
                  </w:pPr>
                </w:p>
              </w:tc>
              <w:tc>
                <w:tcPr>
                  <w:tcW w:w="917" w:type="dxa"/>
                  <w:vMerge w:val="continue"/>
                  <w:noWrap w:val="0"/>
                  <w:vAlign w:val="center"/>
                </w:tcPr>
                <w:p w14:paraId="771D4DBE">
                  <w:pPr>
                    <w:pStyle w:val="24"/>
                    <w:bidi w:val="0"/>
                    <w:jc w:val="center"/>
                    <w:rPr>
                      <w:rFonts w:hint="default"/>
                      <w:color w:val="auto"/>
                      <w:lang w:val="en-US" w:eastAsia="zh-CN"/>
                    </w:rPr>
                  </w:pPr>
                </w:p>
              </w:tc>
              <w:tc>
                <w:tcPr>
                  <w:tcW w:w="866" w:type="dxa"/>
                  <w:vMerge w:val="continue"/>
                  <w:noWrap w:val="0"/>
                  <w:vAlign w:val="center"/>
                </w:tcPr>
                <w:p w14:paraId="64CF9865">
                  <w:pPr>
                    <w:pStyle w:val="24"/>
                    <w:bidi w:val="0"/>
                    <w:jc w:val="center"/>
                    <w:rPr>
                      <w:rFonts w:hint="default"/>
                      <w:color w:val="auto"/>
                      <w:lang w:val="en-US" w:eastAsia="zh-CN"/>
                    </w:rPr>
                  </w:pPr>
                </w:p>
              </w:tc>
              <w:tc>
                <w:tcPr>
                  <w:tcW w:w="2079" w:type="dxa"/>
                  <w:vMerge w:val="continue"/>
                  <w:noWrap w:val="0"/>
                  <w:vAlign w:val="center"/>
                </w:tcPr>
                <w:p w14:paraId="7CC4CC1F">
                  <w:pPr>
                    <w:pStyle w:val="24"/>
                    <w:bidi w:val="0"/>
                    <w:jc w:val="center"/>
                    <w:rPr>
                      <w:rFonts w:hint="default"/>
                      <w:color w:val="auto"/>
                      <w:lang w:val="en-US" w:eastAsia="zh-CN"/>
                    </w:rPr>
                  </w:pPr>
                </w:p>
              </w:tc>
            </w:tr>
            <w:tr w14:paraId="481645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745" w:type="dxa"/>
                  <w:vMerge w:val="continue"/>
                  <w:noWrap w:val="0"/>
                  <w:vAlign w:val="center"/>
                </w:tcPr>
                <w:p w14:paraId="6498F928">
                  <w:pPr>
                    <w:pStyle w:val="24"/>
                    <w:bidi w:val="0"/>
                    <w:jc w:val="center"/>
                    <w:rPr>
                      <w:color w:val="auto"/>
                    </w:rPr>
                  </w:pPr>
                </w:p>
              </w:tc>
              <w:tc>
                <w:tcPr>
                  <w:tcW w:w="1538" w:type="dxa"/>
                  <w:noWrap w:val="0"/>
                  <w:vAlign w:val="center"/>
                </w:tcPr>
                <w:p w14:paraId="0C1BC3D2">
                  <w:pPr>
                    <w:pStyle w:val="24"/>
                    <w:bidi w:val="0"/>
                    <w:jc w:val="center"/>
                    <w:rPr>
                      <w:rFonts w:hint="default"/>
                      <w:color w:val="auto"/>
                      <w:lang w:val="en-US" w:eastAsia="zh-CN"/>
                    </w:rPr>
                  </w:pPr>
                  <w:r>
                    <w:rPr>
                      <w:rFonts w:hint="default"/>
                      <w:color w:val="auto"/>
                      <w:lang w:val="en-US" w:eastAsia="zh-CN"/>
                    </w:rPr>
                    <w:t>106°09′44.954″</w:t>
                  </w:r>
                </w:p>
              </w:tc>
              <w:tc>
                <w:tcPr>
                  <w:tcW w:w="1787" w:type="dxa"/>
                  <w:gridSpan w:val="2"/>
                  <w:vMerge w:val="restart"/>
                  <w:noWrap w:val="0"/>
                  <w:vAlign w:val="center"/>
                </w:tcPr>
                <w:p w14:paraId="3B8FD897">
                  <w:pPr>
                    <w:pStyle w:val="24"/>
                    <w:bidi w:val="0"/>
                    <w:jc w:val="center"/>
                    <w:rPr>
                      <w:rFonts w:hint="default"/>
                      <w:color w:val="auto"/>
                      <w:lang w:val="en-US" w:eastAsia="zh-CN"/>
                    </w:rPr>
                  </w:pPr>
                  <w:r>
                    <w:rPr>
                      <w:rFonts w:hint="eastAsia"/>
                      <w:color w:val="auto"/>
                      <w:lang w:val="en-US" w:eastAsia="zh-CN"/>
                    </w:rPr>
                    <w:t>西干渠</w:t>
                  </w:r>
                </w:p>
              </w:tc>
              <w:tc>
                <w:tcPr>
                  <w:tcW w:w="572" w:type="dxa"/>
                  <w:vMerge w:val="restart"/>
                  <w:noWrap w:val="0"/>
                  <w:vAlign w:val="center"/>
                </w:tcPr>
                <w:p w14:paraId="336D93B9">
                  <w:pPr>
                    <w:pStyle w:val="24"/>
                    <w:bidi w:val="0"/>
                    <w:jc w:val="center"/>
                    <w:rPr>
                      <w:rFonts w:hint="default"/>
                      <w:color w:val="auto"/>
                      <w:lang w:val="en-US" w:eastAsia="zh-CN"/>
                    </w:rPr>
                  </w:pPr>
                  <w:r>
                    <w:rPr>
                      <w:rFonts w:hint="eastAsia"/>
                      <w:color w:val="auto"/>
                      <w:lang w:val="en-US" w:eastAsia="zh-CN"/>
                    </w:rPr>
                    <w:t>/</w:t>
                  </w:r>
                </w:p>
              </w:tc>
              <w:tc>
                <w:tcPr>
                  <w:tcW w:w="917" w:type="dxa"/>
                  <w:vMerge w:val="restart"/>
                  <w:noWrap w:val="0"/>
                  <w:vAlign w:val="center"/>
                </w:tcPr>
                <w:p w14:paraId="092B94DE">
                  <w:pPr>
                    <w:pStyle w:val="24"/>
                    <w:bidi w:val="0"/>
                    <w:jc w:val="center"/>
                    <w:rPr>
                      <w:rFonts w:hint="default"/>
                      <w:color w:val="auto"/>
                      <w:lang w:val="en-US" w:eastAsia="zh-CN"/>
                    </w:rPr>
                  </w:pPr>
                  <w:r>
                    <w:rPr>
                      <w:rFonts w:hint="eastAsia"/>
                      <w:color w:val="auto"/>
                      <w:lang w:val="en-US" w:eastAsia="zh-CN"/>
                    </w:rPr>
                    <w:t>NE</w:t>
                  </w:r>
                </w:p>
              </w:tc>
              <w:tc>
                <w:tcPr>
                  <w:tcW w:w="866" w:type="dxa"/>
                  <w:vMerge w:val="restart"/>
                  <w:noWrap w:val="0"/>
                  <w:vAlign w:val="center"/>
                </w:tcPr>
                <w:p w14:paraId="37B48FD9">
                  <w:pPr>
                    <w:pStyle w:val="24"/>
                    <w:bidi w:val="0"/>
                    <w:jc w:val="center"/>
                    <w:rPr>
                      <w:rFonts w:hint="default"/>
                      <w:color w:val="auto"/>
                      <w:lang w:val="en-US" w:eastAsia="zh-CN"/>
                    </w:rPr>
                  </w:pPr>
                  <w:r>
                    <w:rPr>
                      <w:rFonts w:hint="eastAsia"/>
                      <w:color w:val="auto"/>
                      <w:lang w:val="en-US" w:eastAsia="zh-CN"/>
                    </w:rPr>
                    <w:t>195m</w:t>
                  </w:r>
                </w:p>
              </w:tc>
              <w:tc>
                <w:tcPr>
                  <w:tcW w:w="2079" w:type="dxa"/>
                  <w:vMerge w:val="continue"/>
                  <w:noWrap w:val="0"/>
                  <w:vAlign w:val="center"/>
                </w:tcPr>
                <w:p w14:paraId="2378C6AE">
                  <w:pPr>
                    <w:pStyle w:val="24"/>
                    <w:bidi w:val="0"/>
                    <w:jc w:val="center"/>
                    <w:rPr>
                      <w:rFonts w:hint="default"/>
                      <w:color w:val="auto"/>
                      <w:lang w:val="en-US" w:eastAsia="zh-CN"/>
                    </w:rPr>
                  </w:pPr>
                </w:p>
              </w:tc>
            </w:tr>
            <w:tr w14:paraId="59BC32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noWrap w:val="0"/>
                  <w:vAlign w:val="center"/>
                </w:tcPr>
                <w:p w14:paraId="1BE6EA87">
                  <w:pPr>
                    <w:pStyle w:val="24"/>
                    <w:bidi w:val="0"/>
                    <w:jc w:val="center"/>
                    <w:rPr>
                      <w:color w:val="auto"/>
                    </w:rPr>
                  </w:pPr>
                </w:p>
              </w:tc>
              <w:tc>
                <w:tcPr>
                  <w:tcW w:w="1538" w:type="dxa"/>
                  <w:noWrap w:val="0"/>
                  <w:vAlign w:val="center"/>
                </w:tcPr>
                <w:p w14:paraId="601DC79F">
                  <w:pPr>
                    <w:pStyle w:val="24"/>
                    <w:bidi w:val="0"/>
                    <w:jc w:val="center"/>
                    <w:rPr>
                      <w:rFonts w:hint="default"/>
                      <w:color w:val="auto"/>
                      <w:lang w:val="en-US" w:eastAsia="zh-CN"/>
                    </w:rPr>
                  </w:pPr>
                  <w:r>
                    <w:rPr>
                      <w:rFonts w:hint="default"/>
                      <w:color w:val="auto"/>
                      <w:lang w:val="en-US" w:eastAsia="zh-CN"/>
                    </w:rPr>
                    <w:t>36°10′40.259″</w:t>
                  </w:r>
                </w:p>
              </w:tc>
              <w:tc>
                <w:tcPr>
                  <w:tcW w:w="1787" w:type="dxa"/>
                  <w:gridSpan w:val="2"/>
                  <w:vMerge w:val="continue"/>
                  <w:noWrap w:val="0"/>
                  <w:vAlign w:val="center"/>
                </w:tcPr>
                <w:p w14:paraId="0A79FF02">
                  <w:pPr>
                    <w:pStyle w:val="24"/>
                    <w:bidi w:val="0"/>
                    <w:jc w:val="center"/>
                    <w:rPr>
                      <w:rFonts w:hint="default"/>
                      <w:color w:val="auto"/>
                      <w:lang w:val="en-US" w:eastAsia="zh-CN"/>
                    </w:rPr>
                  </w:pPr>
                </w:p>
              </w:tc>
              <w:tc>
                <w:tcPr>
                  <w:tcW w:w="572" w:type="dxa"/>
                  <w:vMerge w:val="continue"/>
                  <w:noWrap w:val="0"/>
                  <w:vAlign w:val="center"/>
                </w:tcPr>
                <w:p w14:paraId="2A142B89">
                  <w:pPr>
                    <w:pStyle w:val="24"/>
                    <w:bidi w:val="0"/>
                    <w:jc w:val="center"/>
                    <w:rPr>
                      <w:rFonts w:hint="default"/>
                      <w:color w:val="auto"/>
                      <w:lang w:val="en-US" w:eastAsia="zh-CN"/>
                    </w:rPr>
                  </w:pPr>
                </w:p>
              </w:tc>
              <w:tc>
                <w:tcPr>
                  <w:tcW w:w="917" w:type="dxa"/>
                  <w:vMerge w:val="continue"/>
                  <w:noWrap w:val="0"/>
                  <w:vAlign w:val="center"/>
                </w:tcPr>
                <w:p w14:paraId="62107A7E">
                  <w:pPr>
                    <w:pStyle w:val="24"/>
                    <w:bidi w:val="0"/>
                    <w:jc w:val="center"/>
                    <w:rPr>
                      <w:rFonts w:hint="default"/>
                      <w:color w:val="auto"/>
                      <w:lang w:val="en-US" w:eastAsia="zh-CN"/>
                    </w:rPr>
                  </w:pPr>
                </w:p>
              </w:tc>
              <w:tc>
                <w:tcPr>
                  <w:tcW w:w="866" w:type="dxa"/>
                  <w:vMerge w:val="continue"/>
                  <w:noWrap w:val="0"/>
                  <w:vAlign w:val="center"/>
                </w:tcPr>
                <w:p w14:paraId="2762B94D">
                  <w:pPr>
                    <w:pStyle w:val="24"/>
                    <w:bidi w:val="0"/>
                    <w:jc w:val="center"/>
                    <w:rPr>
                      <w:rFonts w:hint="default"/>
                      <w:color w:val="auto"/>
                      <w:lang w:val="en-US" w:eastAsia="zh-CN"/>
                    </w:rPr>
                  </w:pPr>
                </w:p>
              </w:tc>
              <w:tc>
                <w:tcPr>
                  <w:tcW w:w="2079" w:type="dxa"/>
                  <w:vMerge w:val="continue"/>
                  <w:noWrap w:val="0"/>
                  <w:vAlign w:val="center"/>
                </w:tcPr>
                <w:p w14:paraId="228DB1D4">
                  <w:pPr>
                    <w:pStyle w:val="24"/>
                    <w:bidi w:val="0"/>
                    <w:jc w:val="center"/>
                    <w:rPr>
                      <w:rFonts w:hint="default"/>
                      <w:color w:val="auto"/>
                      <w:lang w:val="en-US" w:eastAsia="zh-CN"/>
                    </w:rPr>
                  </w:pPr>
                </w:p>
              </w:tc>
            </w:tr>
          </w:tbl>
          <w:p w14:paraId="7BFE7C80">
            <w:pPr>
              <w:pStyle w:val="26"/>
              <w:bidi w:val="0"/>
              <w:jc w:val="both"/>
              <w:rPr>
                <w:color w:val="auto"/>
              </w:rPr>
            </w:pPr>
            <w:r>
              <w:rPr>
                <w:color w:val="auto"/>
              </w:rPr>
              <w:drawing>
                <wp:inline distT="0" distB="0" distL="114300" distR="114300">
                  <wp:extent cx="5413375" cy="5186680"/>
                  <wp:effectExtent l="0" t="0" r="15875" b="1397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3"/>
                          <a:stretch>
                            <a:fillRect/>
                          </a:stretch>
                        </pic:blipFill>
                        <pic:spPr>
                          <a:xfrm>
                            <a:off x="0" y="0"/>
                            <a:ext cx="5413375" cy="5186680"/>
                          </a:xfrm>
                          <a:prstGeom prst="rect">
                            <a:avLst/>
                          </a:prstGeom>
                          <a:noFill/>
                          <a:ln>
                            <a:noFill/>
                          </a:ln>
                        </pic:spPr>
                      </pic:pic>
                    </a:graphicData>
                  </a:graphic>
                </wp:inline>
              </w:drawing>
            </w:r>
          </w:p>
          <w:p w14:paraId="3C9216F0">
            <w:pPr>
              <w:pStyle w:val="27"/>
              <w:bidi w:val="0"/>
              <w:rPr>
                <w:rFonts w:hint="default"/>
                <w:color w:val="auto"/>
                <w:lang w:val="en-US" w:eastAsia="zh-CN"/>
              </w:rPr>
            </w:pPr>
            <w:r>
              <w:rPr>
                <w:rFonts w:hint="eastAsia"/>
                <w:color w:val="auto"/>
                <w:lang w:val="en-US" w:eastAsia="zh-CN"/>
              </w:rPr>
              <w:t>图6 周边敏感点示意图</w:t>
            </w:r>
          </w:p>
        </w:tc>
      </w:tr>
      <w:tr w14:paraId="62AB1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0"/>
            <w:tcMar>
              <w:left w:w="28" w:type="dxa"/>
              <w:right w:w="28" w:type="dxa"/>
            </w:tcMar>
            <w:vAlign w:val="center"/>
          </w:tcPr>
          <w:p w14:paraId="3B6AECB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6CDAC00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3E54975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3782E61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02925F3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45" w:type="dxa"/>
            <w:noWrap w:val="0"/>
            <w:vAlign w:val="center"/>
          </w:tcPr>
          <w:p w14:paraId="6DAE44C5">
            <w:pPr>
              <w:pStyle w:val="23"/>
              <w:numPr>
                <w:ilvl w:val="0"/>
                <w:numId w:val="4"/>
              </w:numPr>
              <w:bidi w:val="0"/>
              <w:rPr>
                <w:rFonts w:hint="eastAsia"/>
                <w:color w:val="auto"/>
                <w:lang w:val="en-US" w:eastAsia="zh-CN"/>
              </w:rPr>
            </w:pPr>
            <w:r>
              <w:rPr>
                <w:rFonts w:hint="eastAsia"/>
                <w:color w:val="auto"/>
                <w:lang w:val="en-US" w:eastAsia="zh-CN"/>
              </w:rPr>
              <w:t>废气排放控制标准</w:t>
            </w:r>
          </w:p>
          <w:p w14:paraId="3CD01AD2">
            <w:pPr>
              <w:pStyle w:val="23"/>
              <w:bidi w:val="0"/>
              <w:rPr>
                <w:rFonts w:hint="eastAsia"/>
                <w:color w:val="auto"/>
                <w:lang w:val="en-US" w:eastAsia="zh-CN"/>
              </w:rPr>
            </w:pPr>
            <w:r>
              <w:rPr>
                <w:rFonts w:hint="eastAsia"/>
                <w:color w:val="auto"/>
                <w:lang w:val="en-US" w:eastAsia="zh-CN"/>
              </w:rPr>
              <w:t>本项目运营期产生的无组织非甲烷总烃执行《大气污染物综合排放标准》（GB16297-1996）中的无组织排放监控限值要求。</w:t>
            </w:r>
          </w:p>
          <w:p w14:paraId="09D40E4B">
            <w:pPr>
              <w:pStyle w:val="25"/>
              <w:bidi w:val="0"/>
              <w:rPr>
                <w:color w:val="auto"/>
              </w:rPr>
            </w:pPr>
            <w:r>
              <w:rPr>
                <w:rFonts w:hint="eastAsia"/>
                <w:color w:val="auto"/>
                <w:lang w:val="en-US" w:eastAsia="zh-CN"/>
              </w:rPr>
              <w:t>表3-6</w:t>
            </w:r>
            <w:r>
              <w:rPr>
                <w:rFonts w:hint="default"/>
                <w:color w:val="auto"/>
                <w:lang w:val="en-US" w:eastAsia="zh-CN"/>
              </w:rPr>
              <w:t xml:space="preserve"> </w:t>
            </w:r>
            <w:r>
              <w:rPr>
                <w:rFonts w:hint="eastAsia"/>
                <w:color w:val="auto"/>
                <w:lang w:val="en-US" w:eastAsia="zh-CN"/>
              </w:rPr>
              <w:t xml:space="preserve">               废气污染物排放限值            单位：</w:t>
            </w:r>
            <w:r>
              <w:rPr>
                <w:rFonts w:hint="default"/>
                <w:color w:val="auto"/>
                <w:lang w:val="en-US" w:eastAsia="zh-CN"/>
              </w:rPr>
              <w:t>mg/m³</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489"/>
              <w:gridCol w:w="2990"/>
              <w:gridCol w:w="2959"/>
            </w:tblGrid>
            <w:tr w14:paraId="7B0141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14:paraId="0A148AD7">
                  <w:pPr>
                    <w:pStyle w:val="24"/>
                    <w:bidi w:val="0"/>
                    <w:jc w:val="center"/>
                    <w:rPr>
                      <w:rFonts w:hint="default"/>
                      <w:b/>
                      <w:bCs/>
                      <w:color w:val="auto"/>
                      <w:lang w:val="en-US" w:eastAsia="zh-CN"/>
                    </w:rPr>
                  </w:pPr>
                  <w:r>
                    <w:rPr>
                      <w:rFonts w:hint="eastAsia"/>
                      <w:b/>
                      <w:bCs/>
                      <w:color w:val="auto"/>
                      <w:lang w:val="en-US" w:eastAsia="zh-CN"/>
                    </w:rPr>
                    <w:t>项目</w:t>
                  </w:r>
                </w:p>
              </w:tc>
              <w:tc>
                <w:tcPr>
                  <w:tcW w:w="1489" w:type="dxa"/>
                  <w:noWrap w:val="0"/>
                  <w:vAlign w:val="center"/>
                </w:tcPr>
                <w:p w14:paraId="4F0634D9">
                  <w:pPr>
                    <w:pStyle w:val="24"/>
                    <w:bidi w:val="0"/>
                    <w:jc w:val="center"/>
                    <w:rPr>
                      <w:rFonts w:hint="eastAsia"/>
                      <w:b/>
                      <w:bCs/>
                      <w:color w:val="auto"/>
                      <w:lang w:val="en-US" w:eastAsia="zh-CN"/>
                    </w:rPr>
                  </w:pPr>
                  <w:r>
                    <w:rPr>
                      <w:rFonts w:hint="eastAsia"/>
                      <w:b/>
                      <w:bCs/>
                      <w:color w:val="auto"/>
                      <w:lang w:val="en-US" w:eastAsia="zh-CN"/>
                    </w:rPr>
                    <w:t>污染物</w:t>
                  </w:r>
                </w:p>
              </w:tc>
              <w:tc>
                <w:tcPr>
                  <w:tcW w:w="2990" w:type="dxa"/>
                  <w:noWrap w:val="0"/>
                  <w:vAlign w:val="center"/>
                </w:tcPr>
                <w:p w14:paraId="7FB1ED65">
                  <w:pPr>
                    <w:pStyle w:val="24"/>
                    <w:bidi w:val="0"/>
                    <w:jc w:val="center"/>
                    <w:rPr>
                      <w:rFonts w:hint="eastAsia"/>
                      <w:b/>
                      <w:bCs/>
                      <w:color w:val="auto"/>
                      <w:lang w:val="en-US" w:eastAsia="zh-CN"/>
                    </w:rPr>
                  </w:pPr>
                  <w:r>
                    <w:rPr>
                      <w:rFonts w:hint="eastAsia"/>
                      <w:b/>
                      <w:bCs/>
                      <w:color w:val="auto"/>
                      <w:lang w:val="en-US" w:eastAsia="zh-CN"/>
                    </w:rPr>
                    <w:t>无组织排放监控浓度限值</w:t>
                  </w:r>
                </w:p>
              </w:tc>
              <w:tc>
                <w:tcPr>
                  <w:tcW w:w="2959" w:type="dxa"/>
                  <w:noWrap w:val="0"/>
                  <w:vAlign w:val="center"/>
                </w:tcPr>
                <w:p w14:paraId="1C1CE9FD">
                  <w:pPr>
                    <w:pStyle w:val="24"/>
                    <w:bidi w:val="0"/>
                    <w:jc w:val="center"/>
                    <w:rPr>
                      <w:rFonts w:hint="eastAsia"/>
                      <w:b/>
                      <w:bCs/>
                      <w:color w:val="auto"/>
                      <w:lang w:val="en-US" w:eastAsia="zh-CN"/>
                    </w:rPr>
                  </w:pPr>
                  <w:r>
                    <w:rPr>
                      <w:rFonts w:hint="eastAsia"/>
                      <w:b/>
                      <w:bCs/>
                      <w:color w:val="auto"/>
                      <w:lang w:val="en-US" w:eastAsia="zh-CN"/>
                    </w:rPr>
                    <w:t>执行标准</w:t>
                  </w:r>
                </w:p>
              </w:tc>
            </w:tr>
            <w:tr w14:paraId="50C2C7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c>
                <w:tcPr>
                  <w:tcW w:w="1088" w:type="dxa"/>
                  <w:noWrap w:val="0"/>
                  <w:vAlign w:val="center"/>
                </w:tcPr>
                <w:p w14:paraId="377D94C8">
                  <w:pPr>
                    <w:pStyle w:val="24"/>
                    <w:bidi w:val="0"/>
                    <w:jc w:val="center"/>
                    <w:rPr>
                      <w:rFonts w:hint="eastAsia"/>
                      <w:color w:val="auto"/>
                      <w:lang w:val="en-US" w:eastAsia="zh-CN"/>
                    </w:rPr>
                  </w:pPr>
                  <w:r>
                    <w:rPr>
                      <w:rFonts w:hint="eastAsia"/>
                      <w:color w:val="auto"/>
                      <w:lang w:val="en-US" w:eastAsia="zh-CN"/>
                    </w:rPr>
                    <w:t>运营期</w:t>
                  </w:r>
                </w:p>
              </w:tc>
              <w:tc>
                <w:tcPr>
                  <w:tcW w:w="1489" w:type="dxa"/>
                  <w:noWrap w:val="0"/>
                  <w:vAlign w:val="center"/>
                </w:tcPr>
                <w:p w14:paraId="3038EB30">
                  <w:pPr>
                    <w:pStyle w:val="24"/>
                    <w:bidi w:val="0"/>
                    <w:jc w:val="center"/>
                    <w:rPr>
                      <w:rFonts w:hint="eastAsia"/>
                      <w:color w:val="auto"/>
                      <w:lang w:val="en-US" w:eastAsia="zh-CN"/>
                    </w:rPr>
                  </w:pPr>
                  <w:r>
                    <w:rPr>
                      <w:rFonts w:hint="eastAsia"/>
                      <w:color w:val="auto"/>
                      <w:lang w:val="en-US" w:eastAsia="zh-CN"/>
                    </w:rPr>
                    <w:t>非甲烷总烃</w:t>
                  </w:r>
                </w:p>
              </w:tc>
              <w:tc>
                <w:tcPr>
                  <w:tcW w:w="2990" w:type="dxa"/>
                  <w:noWrap w:val="0"/>
                  <w:vAlign w:val="center"/>
                </w:tcPr>
                <w:p w14:paraId="6C454ADC">
                  <w:pPr>
                    <w:pStyle w:val="24"/>
                    <w:bidi w:val="0"/>
                    <w:jc w:val="center"/>
                    <w:rPr>
                      <w:rFonts w:hint="eastAsia"/>
                      <w:color w:val="auto"/>
                      <w:lang w:val="en-US" w:eastAsia="zh-CN"/>
                    </w:rPr>
                  </w:pPr>
                  <w:r>
                    <w:rPr>
                      <w:rFonts w:hint="eastAsia"/>
                      <w:color w:val="auto"/>
                      <w:lang w:val="en-US" w:eastAsia="zh-CN"/>
                    </w:rPr>
                    <w:t>4.0</w:t>
                  </w:r>
                </w:p>
              </w:tc>
              <w:tc>
                <w:tcPr>
                  <w:tcW w:w="2959" w:type="dxa"/>
                  <w:noWrap w:val="0"/>
                  <w:vAlign w:val="center"/>
                </w:tcPr>
                <w:p w14:paraId="1E0B2637">
                  <w:pPr>
                    <w:pStyle w:val="24"/>
                    <w:bidi w:val="0"/>
                    <w:jc w:val="center"/>
                    <w:rPr>
                      <w:rFonts w:hint="eastAsia"/>
                      <w:color w:val="auto"/>
                      <w:lang w:val="en-US" w:eastAsia="zh-CN"/>
                    </w:rPr>
                  </w:pPr>
                  <w:r>
                    <w:rPr>
                      <w:rFonts w:hint="eastAsia"/>
                      <w:color w:val="auto"/>
                      <w:lang w:val="en-US" w:eastAsia="zh-CN"/>
                    </w:rPr>
                    <w:t>《大气污染物综合排放标准》（GB16297-1996）</w:t>
                  </w:r>
                </w:p>
              </w:tc>
            </w:tr>
          </w:tbl>
          <w:p w14:paraId="6C732FE2">
            <w:pPr>
              <w:pStyle w:val="23"/>
              <w:numPr>
                <w:ilvl w:val="0"/>
                <w:numId w:val="4"/>
              </w:numPr>
              <w:bidi w:val="0"/>
              <w:rPr>
                <w:rFonts w:hint="default"/>
                <w:color w:val="auto"/>
                <w:lang w:val="en-US" w:eastAsia="zh-CN"/>
              </w:rPr>
            </w:pPr>
            <w:r>
              <w:rPr>
                <w:rFonts w:hint="eastAsia"/>
                <w:color w:val="auto"/>
                <w:lang w:val="en-US" w:eastAsia="zh-CN"/>
              </w:rPr>
              <w:t>废水排放控制标准</w:t>
            </w:r>
          </w:p>
          <w:p w14:paraId="054D80FD">
            <w:pPr>
              <w:pStyle w:val="23"/>
              <w:bidi w:val="0"/>
              <w:rPr>
                <w:rFonts w:hint="default"/>
                <w:color w:val="auto"/>
                <w:lang w:val="en-US" w:eastAsia="zh-CN"/>
              </w:rPr>
            </w:pPr>
            <w:r>
              <w:rPr>
                <w:rFonts w:hint="eastAsia"/>
                <w:color w:val="auto"/>
                <w:lang w:val="en-US" w:eastAsia="zh-CN"/>
              </w:rPr>
              <w:t>本项目废水为生活废水。废水排放时执行《污水排入城镇下水道水质标准》（GB/T31962-2015）。</w:t>
            </w:r>
          </w:p>
          <w:p w14:paraId="09616E20">
            <w:pPr>
              <w:pStyle w:val="25"/>
              <w:bidi w:val="0"/>
              <w:rPr>
                <w:color w:val="auto"/>
              </w:rPr>
            </w:pPr>
            <w:r>
              <w:rPr>
                <w:rFonts w:hint="eastAsia"/>
                <w:color w:val="auto"/>
                <w:lang w:val="en-US" w:eastAsia="zh-CN"/>
              </w:rPr>
              <w:t>表3-7               废气污染物排放限值             单位：</w:t>
            </w:r>
            <w:r>
              <w:rPr>
                <w:rFonts w:hint="default"/>
                <w:color w:val="auto"/>
                <w:lang w:val="en-US" w:eastAsia="zh-CN"/>
              </w:rPr>
              <w:t>mg/</w:t>
            </w:r>
            <w:r>
              <w:rPr>
                <w:rFonts w:hint="eastAsia"/>
                <w:color w:val="auto"/>
                <w:lang w:val="en-US" w:eastAsia="zh-CN"/>
              </w:rPr>
              <w:t>L</w:t>
            </w:r>
          </w:p>
          <w:tbl>
            <w:tblPr>
              <w:tblStyle w:val="18"/>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014"/>
              <w:gridCol w:w="2465"/>
              <w:gridCol w:w="2959"/>
            </w:tblGrid>
            <w:tr w14:paraId="761A32B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noWrap w:val="0"/>
                  <w:vAlign w:val="center"/>
                </w:tcPr>
                <w:p w14:paraId="3A08B950">
                  <w:pPr>
                    <w:pStyle w:val="24"/>
                    <w:bidi w:val="0"/>
                    <w:jc w:val="center"/>
                    <w:rPr>
                      <w:rFonts w:hint="default"/>
                      <w:b/>
                      <w:bCs/>
                      <w:color w:val="auto"/>
                      <w:lang w:val="en-US" w:eastAsia="zh-CN"/>
                    </w:rPr>
                  </w:pPr>
                  <w:r>
                    <w:rPr>
                      <w:rFonts w:hint="eastAsia"/>
                      <w:b/>
                      <w:bCs/>
                      <w:color w:val="auto"/>
                      <w:lang w:val="en-US" w:eastAsia="zh-CN"/>
                    </w:rPr>
                    <w:t>项目</w:t>
                  </w:r>
                </w:p>
              </w:tc>
              <w:tc>
                <w:tcPr>
                  <w:tcW w:w="2014" w:type="dxa"/>
                  <w:noWrap w:val="0"/>
                  <w:vAlign w:val="center"/>
                </w:tcPr>
                <w:p w14:paraId="4379CCF2">
                  <w:pPr>
                    <w:pStyle w:val="24"/>
                    <w:bidi w:val="0"/>
                    <w:jc w:val="center"/>
                    <w:rPr>
                      <w:rFonts w:hint="eastAsia"/>
                      <w:b/>
                      <w:bCs/>
                      <w:color w:val="auto"/>
                      <w:lang w:val="en-US" w:eastAsia="zh-CN"/>
                    </w:rPr>
                  </w:pPr>
                  <w:r>
                    <w:rPr>
                      <w:rFonts w:hint="eastAsia"/>
                      <w:b/>
                      <w:bCs/>
                      <w:color w:val="auto"/>
                      <w:lang w:val="en-US" w:eastAsia="zh-CN"/>
                    </w:rPr>
                    <w:t>污染物</w:t>
                  </w:r>
                </w:p>
              </w:tc>
              <w:tc>
                <w:tcPr>
                  <w:tcW w:w="2465" w:type="dxa"/>
                  <w:noWrap w:val="0"/>
                  <w:vAlign w:val="center"/>
                </w:tcPr>
                <w:p w14:paraId="5F852C0D">
                  <w:pPr>
                    <w:pStyle w:val="24"/>
                    <w:bidi w:val="0"/>
                    <w:jc w:val="center"/>
                    <w:rPr>
                      <w:rFonts w:hint="eastAsia"/>
                      <w:b/>
                      <w:bCs/>
                      <w:color w:val="auto"/>
                      <w:lang w:val="en-US" w:eastAsia="zh-CN"/>
                    </w:rPr>
                  </w:pPr>
                  <w:r>
                    <w:rPr>
                      <w:rFonts w:hint="eastAsia"/>
                      <w:b/>
                      <w:bCs/>
                      <w:color w:val="auto"/>
                      <w:lang w:val="en-US" w:eastAsia="zh-CN"/>
                    </w:rPr>
                    <w:t>排放监控浓度限值</w:t>
                  </w:r>
                </w:p>
              </w:tc>
              <w:tc>
                <w:tcPr>
                  <w:tcW w:w="2959" w:type="dxa"/>
                  <w:noWrap w:val="0"/>
                  <w:vAlign w:val="center"/>
                </w:tcPr>
                <w:p w14:paraId="3D458254">
                  <w:pPr>
                    <w:pStyle w:val="24"/>
                    <w:bidi w:val="0"/>
                    <w:jc w:val="center"/>
                    <w:rPr>
                      <w:rFonts w:hint="eastAsia"/>
                      <w:b/>
                      <w:bCs/>
                      <w:color w:val="auto"/>
                      <w:lang w:val="en-US" w:eastAsia="zh-CN"/>
                    </w:rPr>
                  </w:pPr>
                  <w:r>
                    <w:rPr>
                      <w:rFonts w:hint="eastAsia"/>
                      <w:b/>
                      <w:bCs/>
                      <w:color w:val="auto"/>
                      <w:lang w:val="en-US" w:eastAsia="zh-CN"/>
                    </w:rPr>
                    <w:t>执行标准</w:t>
                  </w:r>
                </w:p>
              </w:tc>
            </w:tr>
            <w:tr w14:paraId="168F14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vMerge w:val="restart"/>
                  <w:noWrap w:val="0"/>
                  <w:vAlign w:val="center"/>
                </w:tcPr>
                <w:p w14:paraId="24AEEEF4">
                  <w:pPr>
                    <w:pStyle w:val="24"/>
                    <w:bidi w:val="0"/>
                    <w:jc w:val="center"/>
                    <w:rPr>
                      <w:rFonts w:hint="eastAsia"/>
                      <w:color w:val="auto"/>
                      <w:lang w:val="en-US" w:eastAsia="zh-CN"/>
                    </w:rPr>
                  </w:pPr>
                  <w:r>
                    <w:rPr>
                      <w:rFonts w:hint="eastAsia"/>
                      <w:color w:val="auto"/>
                      <w:lang w:val="en-US" w:eastAsia="zh-CN"/>
                    </w:rPr>
                    <w:t>运营期</w:t>
                  </w:r>
                </w:p>
              </w:tc>
              <w:tc>
                <w:tcPr>
                  <w:tcW w:w="2014" w:type="dxa"/>
                  <w:noWrap w:val="0"/>
                  <w:vAlign w:val="center"/>
                </w:tcPr>
                <w:p w14:paraId="3A14B222">
                  <w:pPr>
                    <w:pStyle w:val="24"/>
                    <w:bidi w:val="0"/>
                    <w:jc w:val="center"/>
                    <w:rPr>
                      <w:rFonts w:hint="default"/>
                      <w:color w:val="auto"/>
                      <w:lang w:val="en-US" w:eastAsia="zh-CN"/>
                    </w:rPr>
                  </w:pPr>
                  <w:r>
                    <w:rPr>
                      <w:rFonts w:hint="eastAsia"/>
                      <w:color w:val="auto"/>
                      <w:lang w:val="en-US" w:eastAsia="zh-CN"/>
                    </w:rPr>
                    <w:t>pH</w:t>
                  </w:r>
                </w:p>
              </w:tc>
              <w:tc>
                <w:tcPr>
                  <w:tcW w:w="2465" w:type="dxa"/>
                  <w:noWrap w:val="0"/>
                  <w:vAlign w:val="center"/>
                </w:tcPr>
                <w:p w14:paraId="24C8E639">
                  <w:pPr>
                    <w:pStyle w:val="24"/>
                    <w:bidi w:val="0"/>
                    <w:jc w:val="center"/>
                    <w:rPr>
                      <w:rFonts w:hint="default"/>
                      <w:color w:val="auto"/>
                      <w:lang w:val="en-US" w:eastAsia="zh-CN"/>
                    </w:rPr>
                  </w:pPr>
                  <w:r>
                    <w:rPr>
                      <w:rFonts w:hint="eastAsia"/>
                      <w:color w:val="auto"/>
                      <w:lang w:val="en-US" w:eastAsia="zh-CN"/>
                    </w:rPr>
                    <w:t>6-9</w:t>
                  </w:r>
                </w:p>
              </w:tc>
              <w:tc>
                <w:tcPr>
                  <w:tcW w:w="2959" w:type="dxa"/>
                  <w:vMerge w:val="restart"/>
                  <w:noWrap w:val="0"/>
                  <w:vAlign w:val="center"/>
                </w:tcPr>
                <w:p w14:paraId="75D1BCE6">
                  <w:pPr>
                    <w:pStyle w:val="24"/>
                    <w:bidi w:val="0"/>
                    <w:jc w:val="center"/>
                    <w:rPr>
                      <w:rFonts w:hint="default"/>
                      <w:color w:val="auto"/>
                      <w:lang w:val="en-US" w:eastAsia="zh-CN"/>
                    </w:rPr>
                  </w:pPr>
                  <w:r>
                    <w:rPr>
                      <w:rFonts w:hint="eastAsia"/>
                      <w:color w:val="auto"/>
                      <w:lang w:val="en-US" w:eastAsia="zh-CN"/>
                    </w:rPr>
                    <w:t>《污水排入城镇下水道水质标准》（GB/T31962-2015）A级标准</w:t>
                  </w:r>
                </w:p>
              </w:tc>
            </w:tr>
            <w:tr w14:paraId="6BF205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14:paraId="5937450F">
                  <w:pPr>
                    <w:pStyle w:val="24"/>
                    <w:bidi w:val="0"/>
                    <w:jc w:val="center"/>
                    <w:rPr>
                      <w:rFonts w:hint="eastAsia"/>
                      <w:color w:val="auto"/>
                      <w:lang w:val="en-US" w:eastAsia="zh-CN"/>
                    </w:rPr>
                  </w:pPr>
                </w:p>
              </w:tc>
              <w:tc>
                <w:tcPr>
                  <w:tcW w:w="2014" w:type="dxa"/>
                  <w:noWrap w:val="0"/>
                  <w:vAlign w:val="center"/>
                </w:tcPr>
                <w:p w14:paraId="3DCFB62E">
                  <w:pPr>
                    <w:pStyle w:val="24"/>
                    <w:bidi w:val="0"/>
                    <w:jc w:val="center"/>
                    <w:rPr>
                      <w:rFonts w:hint="default"/>
                      <w:color w:val="auto"/>
                      <w:lang w:val="en-US" w:eastAsia="zh-CN"/>
                    </w:rPr>
                  </w:pPr>
                  <w:r>
                    <w:rPr>
                      <w:rFonts w:hint="eastAsia"/>
                      <w:color w:val="auto"/>
                      <w:lang w:val="en-US" w:eastAsia="zh-CN"/>
                    </w:rPr>
                    <w:t>SS</w:t>
                  </w:r>
                </w:p>
              </w:tc>
              <w:tc>
                <w:tcPr>
                  <w:tcW w:w="2465" w:type="dxa"/>
                  <w:noWrap w:val="0"/>
                  <w:vAlign w:val="center"/>
                </w:tcPr>
                <w:p w14:paraId="05298D3D">
                  <w:pPr>
                    <w:pStyle w:val="24"/>
                    <w:bidi w:val="0"/>
                    <w:jc w:val="center"/>
                    <w:rPr>
                      <w:rFonts w:hint="default"/>
                      <w:color w:val="auto"/>
                      <w:lang w:val="en-US" w:eastAsia="zh-CN"/>
                    </w:rPr>
                  </w:pPr>
                  <w:r>
                    <w:rPr>
                      <w:rFonts w:hint="eastAsia"/>
                      <w:color w:val="auto"/>
                      <w:lang w:val="en-US" w:eastAsia="zh-CN"/>
                    </w:rPr>
                    <w:t>500</w:t>
                  </w:r>
                </w:p>
              </w:tc>
              <w:tc>
                <w:tcPr>
                  <w:tcW w:w="2959" w:type="dxa"/>
                  <w:vMerge w:val="continue"/>
                  <w:noWrap w:val="0"/>
                  <w:vAlign w:val="center"/>
                </w:tcPr>
                <w:p w14:paraId="4A8F4F27">
                  <w:pPr>
                    <w:pStyle w:val="24"/>
                    <w:bidi w:val="0"/>
                    <w:jc w:val="center"/>
                    <w:rPr>
                      <w:rFonts w:hint="eastAsia"/>
                      <w:color w:val="auto"/>
                      <w:lang w:val="en-US" w:eastAsia="zh-CN"/>
                    </w:rPr>
                  </w:pPr>
                </w:p>
              </w:tc>
            </w:tr>
            <w:tr w14:paraId="796CD9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14:paraId="1A16039A">
                  <w:pPr>
                    <w:pStyle w:val="24"/>
                    <w:bidi w:val="0"/>
                    <w:jc w:val="center"/>
                    <w:rPr>
                      <w:rFonts w:hint="eastAsia"/>
                      <w:color w:val="auto"/>
                      <w:lang w:val="en-US" w:eastAsia="zh-CN"/>
                    </w:rPr>
                  </w:pPr>
                </w:p>
              </w:tc>
              <w:tc>
                <w:tcPr>
                  <w:tcW w:w="2014" w:type="dxa"/>
                  <w:noWrap w:val="0"/>
                  <w:vAlign w:val="center"/>
                </w:tcPr>
                <w:p w14:paraId="644E3AD9">
                  <w:pPr>
                    <w:pStyle w:val="24"/>
                    <w:bidi w:val="0"/>
                    <w:jc w:val="center"/>
                    <w:rPr>
                      <w:rFonts w:hint="default"/>
                      <w:color w:val="auto"/>
                      <w:lang w:val="en-US" w:eastAsia="zh-CN"/>
                    </w:rPr>
                  </w:pPr>
                  <w:r>
                    <w:rPr>
                      <w:rFonts w:hint="eastAsia"/>
                      <w:color w:val="auto"/>
                      <w:lang w:val="en-US" w:eastAsia="zh-CN"/>
                    </w:rPr>
                    <w:t>五日生化需氧量</w:t>
                  </w:r>
                </w:p>
              </w:tc>
              <w:tc>
                <w:tcPr>
                  <w:tcW w:w="2465" w:type="dxa"/>
                  <w:noWrap w:val="0"/>
                  <w:vAlign w:val="center"/>
                </w:tcPr>
                <w:p w14:paraId="45030C76">
                  <w:pPr>
                    <w:pStyle w:val="24"/>
                    <w:bidi w:val="0"/>
                    <w:jc w:val="center"/>
                    <w:rPr>
                      <w:rFonts w:hint="default"/>
                      <w:color w:val="auto"/>
                      <w:lang w:val="en-US" w:eastAsia="zh-CN"/>
                    </w:rPr>
                  </w:pPr>
                  <w:r>
                    <w:rPr>
                      <w:rFonts w:hint="eastAsia"/>
                      <w:color w:val="auto"/>
                      <w:lang w:val="en-US" w:eastAsia="zh-CN"/>
                    </w:rPr>
                    <w:t>350</w:t>
                  </w:r>
                </w:p>
              </w:tc>
              <w:tc>
                <w:tcPr>
                  <w:tcW w:w="2959" w:type="dxa"/>
                  <w:vMerge w:val="continue"/>
                  <w:noWrap w:val="0"/>
                  <w:vAlign w:val="center"/>
                </w:tcPr>
                <w:p w14:paraId="1686152E">
                  <w:pPr>
                    <w:pStyle w:val="24"/>
                    <w:bidi w:val="0"/>
                    <w:jc w:val="center"/>
                    <w:rPr>
                      <w:rFonts w:hint="eastAsia"/>
                      <w:color w:val="auto"/>
                      <w:lang w:val="en-US" w:eastAsia="zh-CN"/>
                    </w:rPr>
                  </w:pPr>
                </w:p>
              </w:tc>
            </w:tr>
            <w:tr w14:paraId="5E7D47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14:paraId="2FE0AEB1">
                  <w:pPr>
                    <w:pStyle w:val="24"/>
                    <w:bidi w:val="0"/>
                    <w:jc w:val="center"/>
                    <w:rPr>
                      <w:rFonts w:hint="eastAsia"/>
                      <w:color w:val="auto"/>
                      <w:lang w:val="en-US" w:eastAsia="zh-CN"/>
                    </w:rPr>
                  </w:pPr>
                </w:p>
              </w:tc>
              <w:tc>
                <w:tcPr>
                  <w:tcW w:w="2014" w:type="dxa"/>
                  <w:noWrap w:val="0"/>
                  <w:vAlign w:val="center"/>
                </w:tcPr>
                <w:p w14:paraId="1FF9EDBE">
                  <w:pPr>
                    <w:pStyle w:val="24"/>
                    <w:bidi w:val="0"/>
                    <w:jc w:val="center"/>
                    <w:rPr>
                      <w:rFonts w:hint="eastAsia"/>
                      <w:color w:val="auto"/>
                      <w:lang w:val="en-US" w:eastAsia="zh-CN"/>
                    </w:rPr>
                  </w:pPr>
                  <w:r>
                    <w:rPr>
                      <w:rFonts w:hint="eastAsia"/>
                      <w:color w:val="auto"/>
                      <w:lang w:val="en-US" w:eastAsia="zh-CN"/>
                    </w:rPr>
                    <w:t>化学需氧量</w:t>
                  </w:r>
                </w:p>
              </w:tc>
              <w:tc>
                <w:tcPr>
                  <w:tcW w:w="2465" w:type="dxa"/>
                  <w:noWrap w:val="0"/>
                  <w:vAlign w:val="center"/>
                </w:tcPr>
                <w:p w14:paraId="0A70694C">
                  <w:pPr>
                    <w:pStyle w:val="24"/>
                    <w:bidi w:val="0"/>
                    <w:jc w:val="center"/>
                    <w:rPr>
                      <w:rFonts w:hint="default"/>
                      <w:color w:val="auto"/>
                      <w:lang w:val="en-US" w:eastAsia="zh-CN"/>
                    </w:rPr>
                  </w:pPr>
                  <w:r>
                    <w:rPr>
                      <w:rFonts w:hint="eastAsia"/>
                      <w:color w:val="auto"/>
                      <w:lang w:val="en-US" w:eastAsia="zh-CN"/>
                    </w:rPr>
                    <w:t>400</w:t>
                  </w:r>
                </w:p>
              </w:tc>
              <w:tc>
                <w:tcPr>
                  <w:tcW w:w="2959" w:type="dxa"/>
                  <w:vMerge w:val="continue"/>
                  <w:noWrap w:val="0"/>
                  <w:vAlign w:val="center"/>
                </w:tcPr>
                <w:p w14:paraId="5FFCC63B">
                  <w:pPr>
                    <w:pStyle w:val="24"/>
                    <w:bidi w:val="0"/>
                    <w:jc w:val="center"/>
                    <w:rPr>
                      <w:rFonts w:hint="eastAsia"/>
                      <w:color w:val="auto"/>
                      <w:lang w:val="en-US" w:eastAsia="zh-CN"/>
                    </w:rPr>
                  </w:pPr>
                </w:p>
              </w:tc>
            </w:tr>
            <w:tr w14:paraId="36E10F8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8" w:type="dxa"/>
                  <w:vMerge w:val="continue"/>
                  <w:noWrap w:val="0"/>
                  <w:vAlign w:val="center"/>
                </w:tcPr>
                <w:p w14:paraId="5C98BD1A">
                  <w:pPr>
                    <w:pStyle w:val="24"/>
                    <w:bidi w:val="0"/>
                    <w:jc w:val="center"/>
                    <w:rPr>
                      <w:rFonts w:hint="eastAsia"/>
                      <w:color w:val="auto"/>
                      <w:lang w:val="en-US" w:eastAsia="zh-CN"/>
                    </w:rPr>
                  </w:pPr>
                </w:p>
              </w:tc>
              <w:tc>
                <w:tcPr>
                  <w:tcW w:w="2014" w:type="dxa"/>
                  <w:noWrap w:val="0"/>
                  <w:vAlign w:val="center"/>
                </w:tcPr>
                <w:p w14:paraId="31903FB5">
                  <w:pPr>
                    <w:pStyle w:val="24"/>
                    <w:bidi w:val="0"/>
                    <w:jc w:val="center"/>
                    <w:rPr>
                      <w:rFonts w:hint="default"/>
                      <w:color w:val="auto"/>
                      <w:lang w:val="en-US" w:eastAsia="zh-CN"/>
                    </w:rPr>
                  </w:pPr>
                  <w:r>
                    <w:rPr>
                      <w:rFonts w:hint="eastAsia"/>
                      <w:color w:val="auto"/>
                      <w:lang w:val="en-US" w:eastAsia="zh-CN"/>
                    </w:rPr>
                    <w:t>氨氮</w:t>
                  </w:r>
                </w:p>
              </w:tc>
              <w:tc>
                <w:tcPr>
                  <w:tcW w:w="2465" w:type="dxa"/>
                  <w:noWrap w:val="0"/>
                  <w:vAlign w:val="center"/>
                </w:tcPr>
                <w:p w14:paraId="22480B3F">
                  <w:pPr>
                    <w:pStyle w:val="24"/>
                    <w:bidi w:val="0"/>
                    <w:jc w:val="center"/>
                    <w:rPr>
                      <w:rFonts w:hint="default"/>
                      <w:color w:val="auto"/>
                      <w:lang w:val="en-US" w:eastAsia="zh-CN"/>
                    </w:rPr>
                  </w:pPr>
                  <w:r>
                    <w:rPr>
                      <w:rFonts w:hint="eastAsia"/>
                      <w:color w:val="auto"/>
                      <w:lang w:val="en-US" w:eastAsia="zh-CN"/>
                    </w:rPr>
                    <w:t>45</w:t>
                  </w:r>
                </w:p>
              </w:tc>
              <w:tc>
                <w:tcPr>
                  <w:tcW w:w="2959" w:type="dxa"/>
                  <w:vMerge w:val="continue"/>
                  <w:noWrap w:val="0"/>
                  <w:vAlign w:val="center"/>
                </w:tcPr>
                <w:p w14:paraId="2B0CED20">
                  <w:pPr>
                    <w:pStyle w:val="24"/>
                    <w:bidi w:val="0"/>
                    <w:jc w:val="center"/>
                    <w:rPr>
                      <w:rFonts w:hint="eastAsia"/>
                      <w:color w:val="auto"/>
                      <w:lang w:val="en-US" w:eastAsia="zh-CN"/>
                    </w:rPr>
                  </w:pPr>
                </w:p>
              </w:tc>
            </w:tr>
          </w:tbl>
          <w:p w14:paraId="0BE5C9C0">
            <w:pPr>
              <w:pStyle w:val="23"/>
              <w:numPr>
                <w:ilvl w:val="0"/>
                <w:numId w:val="4"/>
              </w:numPr>
              <w:bidi w:val="0"/>
              <w:rPr>
                <w:rFonts w:hint="default"/>
                <w:color w:val="auto"/>
                <w:lang w:val="en-US" w:eastAsia="zh-CN"/>
              </w:rPr>
            </w:pPr>
            <w:r>
              <w:rPr>
                <w:rFonts w:hint="eastAsia"/>
                <w:color w:val="auto"/>
                <w:lang w:val="en-US" w:eastAsia="zh-CN"/>
              </w:rPr>
              <w:t>噪声排放控制标准</w:t>
            </w:r>
          </w:p>
          <w:p w14:paraId="3BBE555B">
            <w:pPr>
              <w:pStyle w:val="23"/>
              <w:bidi w:val="0"/>
              <w:rPr>
                <w:color w:val="auto"/>
              </w:rPr>
            </w:pPr>
            <w:r>
              <w:rPr>
                <w:rFonts w:hint="eastAsia"/>
                <w:color w:val="auto"/>
                <w:lang w:val="en-US" w:eastAsia="zh-CN"/>
              </w:rPr>
              <w:t>施工期噪声执行《建筑施工场界环境噪声排放标准》（</w:t>
            </w:r>
            <w:r>
              <w:rPr>
                <w:rFonts w:hint="default"/>
                <w:color w:val="auto"/>
                <w:lang w:val="en-US" w:eastAsia="zh-CN"/>
              </w:rPr>
              <w:t>GB12523-2011</w:t>
            </w:r>
            <w:r>
              <w:rPr>
                <w:rFonts w:hint="eastAsia"/>
                <w:color w:val="auto"/>
                <w:lang w:val="en-US" w:eastAsia="zh-CN"/>
              </w:rPr>
              <w:t>），</w:t>
            </w:r>
            <w:r>
              <w:rPr>
                <w:color w:val="auto"/>
              </w:rPr>
              <w:t>运营期</w:t>
            </w:r>
            <w:r>
              <w:rPr>
                <w:rFonts w:hint="eastAsia"/>
                <w:color w:val="auto"/>
                <w:lang w:eastAsia="zh-CN"/>
              </w:rPr>
              <w:t>东、南、西、北</w:t>
            </w:r>
            <w:r>
              <w:rPr>
                <w:rFonts w:hint="eastAsia"/>
                <w:color w:val="auto"/>
              </w:rPr>
              <w:t>厂界</w:t>
            </w:r>
            <w:r>
              <w:rPr>
                <w:color w:val="auto"/>
              </w:rPr>
              <w:t>噪声排放</w:t>
            </w:r>
            <w:r>
              <w:rPr>
                <w:rFonts w:hint="eastAsia"/>
                <w:color w:val="auto"/>
              </w:rPr>
              <w:t>执行</w:t>
            </w:r>
            <w:r>
              <w:rPr>
                <w:color w:val="auto"/>
              </w:rPr>
              <w:t>《工业企业厂界环境噪声排放标准》（GB12348-2008）</w:t>
            </w:r>
            <w:r>
              <w:rPr>
                <w:rFonts w:hint="eastAsia"/>
                <w:color w:val="auto"/>
                <w:lang w:val="en-US" w:eastAsia="zh-CN"/>
              </w:rPr>
              <w:t>3</w:t>
            </w:r>
            <w:r>
              <w:rPr>
                <w:color w:val="auto"/>
              </w:rPr>
              <w:t>类标准要求</w:t>
            </w:r>
            <w:r>
              <w:rPr>
                <w:rFonts w:hint="eastAsia"/>
                <w:color w:val="auto"/>
                <w:lang w:eastAsia="zh-CN"/>
              </w:rPr>
              <w:t>，</w:t>
            </w:r>
            <w:r>
              <w:rPr>
                <w:color w:val="auto"/>
              </w:rPr>
              <w:t>具体标准限值详见表3-</w:t>
            </w:r>
            <w:r>
              <w:rPr>
                <w:rFonts w:hint="eastAsia"/>
                <w:color w:val="auto"/>
                <w:lang w:val="en-US" w:eastAsia="zh-CN"/>
              </w:rPr>
              <w:t>6、表3-7</w:t>
            </w:r>
            <w:r>
              <w:rPr>
                <w:color w:val="auto"/>
              </w:rPr>
              <w:t>。</w:t>
            </w:r>
          </w:p>
          <w:p w14:paraId="41658D0B">
            <w:pPr>
              <w:pStyle w:val="25"/>
              <w:bidi w:val="0"/>
              <w:rPr>
                <w:rFonts w:hint="default"/>
                <w:color w:val="auto"/>
              </w:rPr>
            </w:pPr>
            <w:r>
              <w:rPr>
                <w:rFonts w:hint="default"/>
                <w:color w:val="auto"/>
              </w:rPr>
              <w:t>表</w:t>
            </w:r>
            <w:r>
              <w:rPr>
                <w:rFonts w:hint="eastAsia"/>
                <w:color w:val="auto"/>
                <w:lang w:val="en-US" w:eastAsia="zh-CN"/>
              </w:rPr>
              <w:t>3-8</w:t>
            </w:r>
            <w:r>
              <w:rPr>
                <w:rFonts w:hint="default"/>
                <w:color w:val="auto"/>
              </w:rPr>
              <w:t xml:space="preserve">    </w:t>
            </w:r>
            <w:r>
              <w:rPr>
                <w:rFonts w:hint="default"/>
                <w:color w:val="auto"/>
                <w:lang w:val="en-US" w:eastAsia="zh-CN"/>
              </w:rPr>
              <w:t>《建筑施工场界环境噪声排放标准》（GB12523-2011）</w:t>
            </w:r>
          </w:p>
          <w:tbl>
            <w:tblPr>
              <w:tblStyle w:val="17"/>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2816"/>
              <w:gridCol w:w="2881"/>
            </w:tblGrid>
            <w:tr w14:paraId="2640FE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vMerge w:val="restart"/>
                  <w:tcBorders>
                    <w:tl2br w:val="nil"/>
                    <w:tr2bl w:val="nil"/>
                  </w:tcBorders>
                  <w:noWrap w:val="0"/>
                  <w:vAlign w:val="center"/>
                </w:tcPr>
                <w:p w14:paraId="257EF3EB">
                  <w:pPr>
                    <w:pStyle w:val="24"/>
                    <w:bidi w:val="0"/>
                    <w:jc w:val="center"/>
                    <w:rPr>
                      <w:rFonts w:hint="eastAsia"/>
                      <w:b/>
                      <w:bCs/>
                      <w:color w:val="auto"/>
                      <w:lang w:eastAsia="zh-CN"/>
                    </w:rPr>
                  </w:pPr>
                  <w:r>
                    <w:rPr>
                      <w:rFonts w:hint="eastAsia"/>
                      <w:b/>
                      <w:bCs/>
                      <w:color w:val="auto"/>
                      <w:lang w:eastAsia="zh-CN"/>
                    </w:rPr>
                    <w:t>项目</w:t>
                  </w:r>
                </w:p>
              </w:tc>
              <w:tc>
                <w:tcPr>
                  <w:tcW w:w="5697" w:type="dxa"/>
                  <w:gridSpan w:val="2"/>
                  <w:tcBorders>
                    <w:tl2br w:val="nil"/>
                    <w:tr2bl w:val="nil"/>
                  </w:tcBorders>
                  <w:noWrap w:val="0"/>
                  <w:vAlign w:val="center"/>
                </w:tcPr>
                <w:p w14:paraId="4B966B91">
                  <w:pPr>
                    <w:pStyle w:val="24"/>
                    <w:bidi w:val="0"/>
                    <w:jc w:val="center"/>
                    <w:rPr>
                      <w:b/>
                      <w:bCs/>
                      <w:color w:val="auto"/>
                    </w:rPr>
                  </w:pPr>
                  <w:r>
                    <w:rPr>
                      <w:b/>
                      <w:bCs/>
                      <w:color w:val="auto"/>
                    </w:rPr>
                    <w:t>时段</w:t>
                  </w:r>
                </w:p>
              </w:tc>
            </w:tr>
            <w:tr w14:paraId="4E311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vMerge w:val="continue"/>
                  <w:tcBorders>
                    <w:tl2br w:val="nil"/>
                    <w:tr2bl w:val="nil"/>
                  </w:tcBorders>
                  <w:noWrap w:val="0"/>
                  <w:vAlign w:val="center"/>
                </w:tcPr>
                <w:p w14:paraId="31E77D2A">
                  <w:pPr>
                    <w:pStyle w:val="24"/>
                    <w:bidi w:val="0"/>
                    <w:jc w:val="center"/>
                    <w:rPr>
                      <w:b/>
                      <w:bCs/>
                      <w:color w:val="auto"/>
                    </w:rPr>
                  </w:pPr>
                </w:p>
              </w:tc>
              <w:tc>
                <w:tcPr>
                  <w:tcW w:w="2816" w:type="dxa"/>
                  <w:tcBorders>
                    <w:tl2br w:val="nil"/>
                    <w:tr2bl w:val="nil"/>
                  </w:tcBorders>
                  <w:noWrap w:val="0"/>
                  <w:vAlign w:val="center"/>
                </w:tcPr>
                <w:p w14:paraId="16329924">
                  <w:pPr>
                    <w:pStyle w:val="24"/>
                    <w:bidi w:val="0"/>
                    <w:jc w:val="center"/>
                    <w:rPr>
                      <w:b/>
                      <w:bCs/>
                      <w:color w:val="auto"/>
                    </w:rPr>
                  </w:pPr>
                  <w:r>
                    <w:rPr>
                      <w:b/>
                      <w:bCs/>
                      <w:color w:val="auto"/>
                    </w:rPr>
                    <w:t>昼间</w:t>
                  </w:r>
                </w:p>
              </w:tc>
              <w:tc>
                <w:tcPr>
                  <w:tcW w:w="2881" w:type="dxa"/>
                  <w:tcBorders>
                    <w:tl2br w:val="nil"/>
                    <w:tr2bl w:val="nil"/>
                  </w:tcBorders>
                  <w:noWrap w:val="0"/>
                  <w:vAlign w:val="center"/>
                </w:tcPr>
                <w:p w14:paraId="71B248A6">
                  <w:pPr>
                    <w:pStyle w:val="24"/>
                    <w:bidi w:val="0"/>
                    <w:jc w:val="center"/>
                    <w:rPr>
                      <w:b/>
                      <w:bCs/>
                      <w:color w:val="auto"/>
                    </w:rPr>
                  </w:pPr>
                  <w:r>
                    <w:rPr>
                      <w:b/>
                      <w:bCs/>
                      <w:color w:val="auto"/>
                    </w:rPr>
                    <w:t>夜间</w:t>
                  </w:r>
                </w:p>
              </w:tc>
            </w:tr>
            <w:tr w14:paraId="7057D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tcBorders>
                    <w:tl2br w:val="nil"/>
                    <w:tr2bl w:val="nil"/>
                  </w:tcBorders>
                  <w:noWrap w:val="0"/>
                  <w:vAlign w:val="center"/>
                </w:tcPr>
                <w:p w14:paraId="244FADCD">
                  <w:pPr>
                    <w:pStyle w:val="24"/>
                    <w:bidi w:val="0"/>
                    <w:jc w:val="center"/>
                    <w:rPr>
                      <w:rFonts w:hint="eastAsia"/>
                      <w:color w:val="auto"/>
                      <w:lang w:eastAsia="zh-CN"/>
                    </w:rPr>
                  </w:pPr>
                  <w:r>
                    <w:rPr>
                      <w:rFonts w:hint="eastAsia"/>
                      <w:color w:val="auto"/>
                      <w:lang w:val="en-US" w:eastAsia="zh-CN"/>
                    </w:rPr>
                    <w:t>标准值</w:t>
                  </w:r>
                </w:p>
              </w:tc>
              <w:tc>
                <w:tcPr>
                  <w:tcW w:w="2816" w:type="dxa"/>
                  <w:tcBorders>
                    <w:tl2br w:val="nil"/>
                    <w:tr2bl w:val="nil"/>
                  </w:tcBorders>
                  <w:noWrap w:val="0"/>
                  <w:vAlign w:val="center"/>
                </w:tcPr>
                <w:p w14:paraId="09145E5D">
                  <w:pPr>
                    <w:pStyle w:val="24"/>
                    <w:bidi w:val="0"/>
                    <w:jc w:val="center"/>
                    <w:rPr>
                      <w:color w:val="auto"/>
                    </w:rPr>
                  </w:pPr>
                  <w:r>
                    <w:rPr>
                      <w:rFonts w:hint="eastAsia"/>
                      <w:color w:val="auto"/>
                      <w:lang w:val="en-US" w:eastAsia="zh-CN"/>
                    </w:rPr>
                    <w:t>70</w:t>
                  </w:r>
                  <w:r>
                    <w:rPr>
                      <w:color w:val="auto"/>
                    </w:rPr>
                    <w:t>dB(A)</w:t>
                  </w:r>
                </w:p>
              </w:tc>
              <w:tc>
                <w:tcPr>
                  <w:tcW w:w="2881" w:type="dxa"/>
                  <w:tcBorders>
                    <w:tl2br w:val="nil"/>
                    <w:tr2bl w:val="nil"/>
                  </w:tcBorders>
                  <w:noWrap w:val="0"/>
                  <w:vAlign w:val="center"/>
                </w:tcPr>
                <w:p w14:paraId="4FB94019">
                  <w:pPr>
                    <w:pStyle w:val="24"/>
                    <w:bidi w:val="0"/>
                    <w:jc w:val="center"/>
                    <w:rPr>
                      <w:color w:val="auto"/>
                    </w:rPr>
                  </w:pPr>
                  <w:r>
                    <w:rPr>
                      <w:rFonts w:hint="eastAsia"/>
                      <w:color w:val="auto"/>
                      <w:lang w:val="en-US" w:eastAsia="zh-CN"/>
                    </w:rPr>
                    <w:t>55</w:t>
                  </w:r>
                  <w:r>
                    <w:rPr>
                      <w:color w:val="auto"/>
                    </w:rPr>
                    <w:t>dB(A)</w:t>
                  </w:r>
                </w:p>
              </w:tc>
            </w:tr>
          </w:tbl>
          <w:p w14:paraId="26816ED4">
            <w:pPr>
              <w:pStyle w:val="25"/>
              <w:bidi w:val="0"/>
              <w:rPr>
                <w:rFonts w:hint="default"/>
                <w:color w:val="auto"/>
              </w:rPr>
            </w:pPr>
            <w:r>
              <w:rPr>
                <w:rFonts w:hint="default"/>
                <w:color w:val="auto"/>
              </w:rPr>
              <w:t>表</w:t>
            </w:r>
            <w:r>
              <w:rPr>
                <w:rFonts w:hint="eastAsia"/>
                <w:color w:val="auto"/>
                <w:lang w:val="en-US" w:eastAsia="zh-CN"/>
              </w:rPr>
              <w:t>3-9</w:t>
            </w:r>
            <w:r>
              <w:rPr>
                <w:rFonts w:hint="default"/>
                <w:color w:val="auto"/>
              </w:rPr>
              <w:t xml:space="preserve">    《工业企业厂界环境噪声排放标准》(GB12348-2008)</w:t>
            </w:r>
            <w:r>
              <w:rPr>
                <w:rFonts w:hint="eastAsia"/>
                <w:color w:val="auto"/>
                <w:lang w:val="en-US" w:eastAsia="zh-CN"/>
              </w:rPr>
              <w:t>3</w:t>
            </w:r>
            <w:r>
              <w:rPr>
                <w:rFonts w:hint="default"/>
                <w:color w:val="auto"/>
              </w:rPr>
              <w:t>类标准</w:t>
            </w:r>
          </w:p>
          <w:tbl>
            <w:tblPr>
              <w:tblStyle w:val="17"/>
              <w:tblW w:w="0" w:type="auto"/>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32"/>
              <w:gridCol w:w="2816"/>
              <w:gridCol w:w="2881"/>
            </w:tblGrid>
            <w:tr w14:paraId="39359C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vMerge w:val="restart"/>
                  <w:tcBorders>
                    <w:tl2br w:val="nil"/>
                    <w:tr2bl w:val="nil"/>
                  </w:tcBorders>
                  <w:noWrap w:val="0"/>
                  <w:vAlign w:val="center"/>
                </w:tcPr>
                <w:p w14:paraId="33F8DF9A">
                  <w:pPr>
                    <w:pStyle w:val="24"/>
                    <w:bidi w:val="0"/>
                    <w:jc w:val="center"/>
                    <w:rPr>
                      <w:b/>
                      <w:bCs/>
                      <w:color w:val="auto"/>
                    </w:rPr>
                  </w:pPr>
                  <w:r>
                    <w:rPr>
                      <w:b/>
                      <w:bCs/>
                      <w:color w:val="auto"/>
                    </w:rPr>
                    <w:t>声环境功能区类别</w:t>
                  </w:r>
                </w:p>
              </w:tc>
              <w:tc>
                <w:tcPr>
                  <w:tcW w:w="5697" w:type="dxa"/>
                  <w:gridSpan w:val="2"/>
                  <w:tcBorders>
                    <w:tl2br w:val="nil"/>
                    <w:tr2bl w:val="nil"/>
                  </w:tcBorders>
                  <w:noWrap w:val="0"/>
                  <w:vAlign w:val="center"/>
                </w:tcPr>
                <w:p w14:paraId="4BCF900E">
                  <w:pPr>
                    <w:pStyle w:val="24"/>
                    <w:bidi w:val="0"/>
                    <w:jc w:val="center"/>
                    <w:rPr>
                      <w:b/>
                      <w:bCs/>
                      <w:color w:val="auto"/>
                    </w:rPr>
                  </w:pPr>
                  <w:r>
                    <w:rPr>
                      <w:b/>
                      <w:bCs/>
                      <w:color w:val="auto"/>
                    </w:rPr>
                    <w:t>时段</w:t>
                  </w:r>
                </w:p>
              </w:tc>
            </w:tr>
            <w:tr w14:paraId="227122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vMerge w:val="continue"/>
                  <w:tcBorders>
                    <w:tl2br w:val="nil"/>
                    <w:tr2bl w:val="nil"/>
                  </w:tcBorders>
                  <w:noWrap w:val="0"/>
                  <w:vAlign w:val="center"/>
                </w:tcPr>
                <w:p w14:paraId="65E0A1CC">
                  <w:pPr>
                    <w:pStyle w:val="24"/>
                    <w:bidi w:val="0"/>
                    <w:jc w:val="center"/>
                    <w:rPr>
                      <w:b/>
                      <w:bCs/>
                      <w:color w:val="auto"/>
                    </w:rPr>
                  </w:pPr>
                </w:p>
              </w:tc>
              <w:tc>
                <w:tcPr>
                  <w:tcW w:w="2816" w:type="dxa"/>
                  <w:tcBorders>
                    <w:tl2br w:val="nil"/>
                    <w:tr2bl w:val="nil"/>
                  </w:tcBorders>
                  <w:noWrap w:val="0"/>
                  <w:vAlign w:val="center"/>
                </w:tcPr>
                <w:p w14:paraId="295BDA12">
                  <w:pPr>
                    <w:pStyle w:val="24"/>
                    <w:bidi w:val="0"/>
                    <w:jc w:val="center"/>
                    <w:rPr>
                      <w:b/>
                      <w:bCs/>
                      <w:color w:val="auto"/>
                    </w:rPr>
                  </w:pPr>
                  <w:r>
                    <w:rPr>
                      <w:b/>
                      <w:bCs/>
                      <w:color w:val="auto"/>
                    </w:rPr>
                    <w:t>昼间</w:t>
                  </w:r>
                </w:p>
              </w:tc>
              <w:tc>
                <w:tcPr>
                  <w:tcW w:w="2881" w:type="dxa"/>
                  <w:tcBorders>
                    <w:tl2br w:val="nil"/>
                    <w:tr2bl w:val="nil"/>
                  </w:tcBorders>
                  <w:noWrap w:val="0"/>
                  <w:vAlign w:val="center"/>
                </w:tcPr>
                <w:p w14:paraId="43230844">
                  <w:pPr>
                    <w:pStyle w:val="24"/>
                    <w:bidi w:val="0"/>
                    <w:jc w:val="center"/>
                    <w:rPr>
                      <w:b/>
                      <w:bCs/>
                      <w:color w:val="auto"/>
                    </w:rPr>
                  </w:pPr>
                  <w:r>
                    <w:rPr>
                      <w:b/>
                      <w:bCs/>
                      <w:color w:val="auto"/>
                    </w:rPr>
                    <w:t>夜间</w:t>
                  </w:r>
                </w:p>
              </w:tc>
            </w:tr>
            <w:tr w14:paraId="59BB0C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32" w:type="dxa"/>
                  <w:tcBorders>
                    <w:tl2br w:val="nil"/>
                    <w:tr2bl w:val="nil"/>
                  </w:tcBorders>
                  <w:noWrap w:val="0"/>
                  <w:vAlign w:val="center"/>
                </w:tcPr>
                <w:p w14:paraId="2FE20CEC">
                  <w:pPr>
                    <w:pStyle w:val="24"/>
                    <w:bidi w:val="0"/>
                    <w:jc w:val="center"/>
                    <w:rPr>
                      <w:rFonts w:hint="eastAsia"/>
                      <w:color w:val="auto"/>
                      <w:lang w:eastAsia="zh-CN"/>
                    </w:rPr>
                  </w:pPr>
                  <w:r>
                    <w:rPr>
                      <w:rFonts w:hint="eastAsia"/>
                      <w:color w:val="auto"/>
                      <w:lang w:val="en-US" w:eastAsia="zh-CN"/>
                    </w:rPr>
                    <w:t>3</w:t>
                  </w:r>
                </w:p>
              </w:tc>
              <w:tc>
                <w:tcPr>
                  <w:tcW w:w="2816" w:type="dxa"/>
                  <w:tcBorders>
                    <w:tl2br w:val="nil"/>
                    <w:tr2bl w:val="nil"/>
                  </w:tcBorders>
                  <w:noWrap w:val="0"/>
                  <w:vAlign w:val="center"/>
                </w:tcPr>
                <w:p w14:paraId="73FC9C45">
                  <w:pPr>
                    <w:pStyle w:val="24"/>
                    <w:bidi w:val="0"/>
                    <w:jc w:val="center"/>
                    <w:rPr>
                      <w:color w:val="auto"/>
                    </w:rPr>
                  </w:pPr>
                  <w:r>
                    <w:rPr>
                      <w:rFonts w:hint="eastAsia"/>
                      <w:color w:val="auto"/>
                      <w:lang w:val="en-US" w:eastAsia="zh-CN"/>
                    </w:rPr>
                    <w:t>65</w:t>
                  </w:r>
                  <w:r>
                    <w:rPr>
                      <w:color w:val="auto"/>
                    </w:rPr>
                    <w:t>dB(A)</w:t>
                  </w:r>
                </w:p>
              </w:tc>
              <w:tc>
                <w:tcPr>
                  <w:tcW w:w="2881" w:type="dxa"/>
                  <w:tcBorders>
                    <w:tl2br w:val="nil"/>
                    <w:tr2bl w:val="nil"/>
                  </w:tcBorders>
                  <w:noWrap w:val="0"/>
                  <w:vAlign w:val="center"/>
                </w:tcPr>
                <w:p w14:paraId="6CCB923A">
                  <w:pPr>
                    <w:pStyle w:val="24"/>
                    <w:bidi w:val="0"/>
                    <w:jc w:val="center"/>
                    <w:rPr>
                      <w:color w:val="auto"/>
                    </w:rPr>
                  </w:pPr>
                  <w:r>
                    <w:rPr>
                      <w:rFonts w:hint="eastAsia"/>
                      <w:color w:val="auto"/>
                      <w:lang w:val="en-US" w:eastAsia="zh-CN"/>
                    </w:rPr>
                    <w:t>55</w:t>
                  </w:r>
                  <w:r>
                    <w:rPr>
                      <w:color w:val="auto"/>
                    </w:rPr>
                    <w:t>dB(A)</w:t>
                  </w:r>
                </w:p>
              </w:tc>
            </w:tr>
          </w:tbl>
          <w:p w14:paraId="37DF796E">
            <w:pPr>
              <w:pStyle w:val="23"/>
              <w:numPr>
                <w:ilvl w:val="0"/>
                <w:numId w:val="4"/>
              </w:numPr>
              <w:bidi w:val="0"/>
              <w:rPr>
                <w:rFonts w:hint="default"/>
                <w:color w:val="auto"/>
                <w:lang w:val="en-US" w:eastAsia="zh-CN"/>
              </w:rPr>
            </w:pPr>
            <w:r>
              <w:rPr>
                <w:rFonts w:hint="eastAsia"/>
                <w:color w:val="auto"/>
                <w:lang w:val="en-US" w:eastAsia="zh-CN"/>
              </w:rPr>
              <w:t>固体废物</w:t>
            </w:r>
          </w:p>
          <w:p w14:paraId="127ED1BF">
            <w:pPr>
              <w:pStyle w:val="23"/>
              <w:bidi w:val="0"/>
              <w:rPr>
                <w:rFonts w:hint="default"/>
                <w:color w:val="auto"/>
                <w:lang w:val="en-US" w:eastAsia="zh-CN"/>
              </w:rPr>
            </w:pPr>
            <w:r>
              <w:rPr>
                <w:rFonts w:hint="default" w:ascii="Times New Roman" w:hAnsi="Times New Roman" w:eastAsia="宋体" w:cs="Times New Roman"/>
                <w:color w:val="auto"/>
                <w:sz w:val="24"/>
                <w:szCs w:val="24"/>
                <w:highlight w:val="none"/>
                <w:lang w:eastAsia="zh-CN"/>
              </w:rPr>
              <w:t>本运营期一般工业固体废物贮存及处置执行《中华人民共和国固体废物污染环境防治法》（2020修订）及《一般工业固体废物管理台账制定指南》（试行）（2021.12.31）中相关规定；生活垃圾执行《中华人民共和国固体废物污染环境防治法》（2020修订）相关要求；危险废物贮存执行《危险废物贮存污染控制标准》（GB18597-2023）规定</w:t>
            </w:r>
            <w:r>
              <w:rPr>
                <w:rFonts w:hint="eastAsia"/>
                <w:color w:val="auto"/>
                <w:lang w:eastAsia="zh-CN"/>
              </w:rPr>
              <w:t>和</w:t>
            </w:r>
            <w:r>
              <w:rPr>
                <w:color w:val="auto"/>
              </w:rPr>
              <w:t>《危险废物收集储存运输技术规范》（HJ2025-2012）要求。</w:t>
            </w:r>
          </w:p>
        </w:tc>
      </w:tr>
      <w:tr w14:paraId="371568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0" w:type="dxa"/>
            <w:noWrap w:val="0"/>
            <w:vAlign w:val="center"/>
          </w:tcPr>
          <w:p w14:paraId="03CDDA88">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5FE8C7D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25BE6AB9">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745" w:type="dxa"/>
            <w:noWrap w:val="0"/>
            <w:vAlign w:val="center"/>
          </w:tcPr>
          <w:p w14:paraId="56C97BC1">
            <w:pPr>
              <w:pStyle w:val="23"/>
              <w:bidi w:val="0"/>
              <w:rPr>
                <w:rFonts w:hint="default"/>
                <w:color w:val="auto"/>
              </w:rPr>
            </w:pPr>
          </w:p>
          <w:p w14:paraId="02E5C21A">
            <w:pPr>
              <w:pStyle w:val="23"/>
              <w:bidi w:val="0"/>
              <w:rPr>
                <w:rFonts w:hint="default"/>
                <w:color w:val="auto"/>
              </w:rPr>
            </w:pPr>
          </w:p>
          <w:p w14:paraId="02E28453">
            <w:pPr>
              <w:pStyle w:val="23"/>
              <w:bidi w:val="0"/>
              <w:rPr>
                <w:rFonts w:hint="default"/>
                <w:color w:val="auto"/>
              </w:rPr>
            </w:pPr>
          </w:p>
          <w:p w14:paraId="0AD2E324">
            <w:pPr>
              <w:pStyle w:val="23"/>
              <w:bidi w:val="0"/>
              <w:rPr>
                <w:rFonts w:hint="default"/>
                <w:color w:val="auto"/>
              </w:rPr>
            </w:pPr>
          </w:p>
          <w:p w14:paraId="7BC3C74B">
            <w:pPr>
              <w:pStyle w:val="23"/>
              <w:bidi w:val="0"/>
              <w:rPr>
                <w:rFonts w:hint="default"/>
                <w:color w:val="auto"/>
              </w:rPr>
            </w:pPr>
          </w:p>
          <w:p w14:paraId="1949887D">
            <w:pPr>
              <w:pStyle w:val="23"/>
              <w:bidi w:val="0"/>
              <w:rPr>
                <w:rFonts w:hint="default"/>
                <w:color w:val="auto"/>
              </w:rPr>
            </w:pPr>
          </w:p>
          <w:p w14:paraId="32CD6F36">
            <w:pPr>
              <w:pStyle w:val="23"/>
              <w:bidi w:val="0"/>
              <w:rPr>
                <w:rFonts w:hint="default"/>
                <w:color w:val="auto"/>
              </w:rPr>
            </w:pPr>
          </w:p>
          <w:p w14:paraId="2C4328B4">
            <w:pPr>
              <w:pStyle w:val="23"/>
              <w:bidi w:val="0"/>
              <w:rPr>
                <w:rFonts w:hint="default"/>
                <w:color w:val="auto"/>
              </w:rPr>
            </w:pPr>
          </w:p>
          <w:p w14:paraId="79A38F55">
            <w:pPr>
              <w:pStyle w:val="23"/>
              <w:bidi w:val="0"/>
              <w:rPr>
                <w:rFonts w:hint="default"/>
                <w:color w:val="auto"/>
              </w:rPr>
            </w:pPr>
          </w:p>
          <w:p w14:paraId="78662931">
            <w:pPr>
              <w:pStyle w:val="23"/>
              <w:bidi w:val="0"/>
              <w:rPr>
                <w:rFonts w:hint="default"/>
                <w:color w:val="auto"/>
              </w:rPr>
            </w:pPr>
          </w:p>
          <w:p w14:paraId="3C868018">
            <w:pPr>
              <w:pStyle w:val="23"/>
              <w:bidi w:val="0"/>
              <w:rPr>
                <w:rFonts w:hint="default"/>
                <w:color w:val="auto"/>
              </w:rPr>
            </w:pPr>
          </w:p>
          <w:p w14:paraId="2E9AC63A">
            <w:pPr>
              <w:pStyle w:val="23"/>
              <w:bidi w:val="0"/>
              <w:rPr>
                <w:rFonts w:hint="default"/>
                <w:color w:val="auto"/>
              </w:rPr>
            </w:pPr>
          </w:p>
          <w:p w14:paraId="475A2346">
            <w:pPr>
              <w:pStyle w:val="23"/>
              <w:bidi w:val="0"/>
              <w:rPr>
                <w:rFonts w:hint="default"/>
                <w:color w:val="auto"/>
              </w:rPr>
            </w:pPr>
          </w:p>
          <w:p w14:paraId="052B35F6">
            <w:pPr>
              <w:pStyle w:val="23"/>
              <w:bidi w:val="0"/>
              <w:rPr>
                <w:rFonts w:hint="default"/>
                <w:color w:val="auto"/>
              </w:rPr>
            </w:pPr>
          </w:p>
          <w:p w14:paraId="3FB77D45">
            <w:pPr>
              <w:pStyle w:val="23"/>
              <w:bidi w:val="0"/>
              <w:rPr>
                <w:rFonts w:hint="default"/>
                <w:color w:val="auto"/>
              </w:rPr>
            </w:pPr>
          </w:p>
          <w:p w14:paraId="6D8C590A">
            <w:pPr>
              <w:pStyle w:val="23"/>
              <w:bidi w:val="0"/>
              <w:rPr>
                <w:rFonts w:hint="default"/>
                <w:color w:val="auto"/>
              </w:rPr>
            </w:pPr>
          </w:p>
          <w:p w14:paraId="0209ED18">
            <w:pPr>
              <w:pStyle w:val="23"/>
              <w:bidi w:val="0"/>
              <w:rPr>
                <w:rFonts w:hint="default"/>
                <w:color w:val="auto"/>
              </w:rPr>
            </w:pPr>
            <w:r>
              <w:rPr>
                <w:rFonts w:hint="default"/>
                <w:color w:val="auto"/>
              </w:rPr>
              <w:t>本项目无组织排放的VOCs（以非甲烷总烃计）废气排放量为</w:t>
            </w:r>
            <w:r>
              <w:rPr>
                <w:rFonts w:hint="eastAsia"/>
                <w:color w:val="auto"/>
                <w:lang w:val="en-US" w:eastAsia="zh-CN"/>
              </w:rPr>
              <w:t>0.085</w:t>
            </w:r>
            <w:r>
              <w:rPr>
                <w:rFonts w:hint="default"/>
                <w:color w:val="auto"/>
              </w:rPr>
              <w:t>t/a，不涉及总量申请，只做排放量统计，因此本项目不需要申请废气污染物总量。</w:t>
            </w:r>
          </w:p>
          <w:p w14:paraId="6CDDC22F">
            <w:pPr>
              <w:pStyle w:val="23"/>
              <w:bidi w:val="0"/>
              <w:rPr>
                <w:rFonts w:hint="default"/>
                <w:color w:val="auto"/>
              </w:rPr>
            </w:pPr>
          </w:p>
          <w:p w14:paraId="1466BFE0">
            <w:pPr>
              <w:pStyle w:val="23"/>
              <w:bidi w:val="0"/>
              <w:rPr>
                <w:rFonts w:hint="default"/>
                <w:color w:val="auto"/>
              </w:rPr>
            </w:pPr>
          </w:p>
          <w:p w14:paraId="0E3E7BBE">
            <w:pPr>
              <w:pStyle w:val="23"/>
              <w:bidi w:val="0"/>
              <w:rPr>
                <w:rFonts w:hint="default"/>
                <w:color w:val="auto"/>
              </w:rPr>
            </w:pPr>
          </w:p>
          <w:p w14:paraId="674479C9">
            <w:pPr>
              <w:pStyle w:val="23"/>
              <w:bidi w:val="0"/>
              <w:rPr>
                <w:rFonts w:hint="default"/>
                <w:color w:val="auto"/>
              </w:rPr>
            </w:pPr>
          </w:p>
          <w:p w14:paraId="4C17486A">
            <w:pPr>
              <w:pStyle w:val="23"/>
              <w:bidi w:val="0"/>
              <w:rPr>
                <w:rFonts w:hint="default"/>
                <w:color w:val="auto"/>
              </w:rPr>
            </w:pPr>
          </w:p>
          <w:p w14:paraId="1F2F5E48">
            <w:pPr>
              <w:pStyle w:val="23"/>
              <w:bidi w:val="0"/>
              <w:rPr>
                <w:rFonts w:hint="default"/>
                <w:color w:val="auto"/>
              </w:rPr>
            </w:pPr>
          </w:p>
          <w:p w14:paraId="24303417">
            <w:pPr>
              <w:pStyle w:val="23"/>
              <w:bidi w:val="0"/>
              <w:rPr>
                <w:rFonts w:hint="default"/>
                <w:color w:val="auto"/>
              </w:rPr>
            </w:pPr>
          </w:p>
          <w:p w14:paraId="2CBB42A1">
            <w:pPr>
              <w:pStyle w:val="23"/>
              <w:bidi w:val="0"/>
              <w:rPr>
                <w:rFonts w:hint="default"/>
                <w:color w:val="auto"/>
              </w:rPr>
            </w:pPr>
          </w:p>
          <w:p w14:paraId="3602EBCC">
            <w:pPr>
              <w:pStyle w:val="23"/>
              <w:bidi w:val="0"/>
              <w:rPr>
                <w:rFonts w:hint="default"/>
                <w:color w:val="auto"/>
              </w:rPr>
            </w:pPr>
          </w:p>
          <w:p w14:paraId="65FDDC38">
            <w:pPr>
              <w:pStyle w:val="23"/>
              <w:bidi w:val="0"/>
              <w:rPr>
                <w:rFonts w:hint="default"/>
                <w:color w:val="auto"/>
              </w:rPr>
            </w:pPr>
          </w:p>
          <w:p w14:paraId="0A65AB31">
            <w:pPr>
              <w:pStyle w:val="23"/>
              <w:bidi w:val="0"/>
              <w:rPr>
                <w:rFonts w:hint="default"/>
                <w:color w:val="auto"/>
              </w:rPr>
            </w:pPr>
          </w:p>
          <w:p w14:paraId="0E13F2F0">
            <w:pPr>
              <w:pStyle w:val="23"/>
              <w:bidi w:val="0"/>
              <w:rPr>
                <w:rFonts w:hint="default"/>
                <w:color w:val="auto"/>
              </w:rPr>
            </w:pPr>
          </w:p>
          <w:p w14:paraId="22A7773F">
            <w:pPr>
              <w:pStyle w:val="23"/>
              <w:bidi w:val="0"/>
              <w:rPr>
                <w:rFonts w:hint="default"/>
                <w:color w:val="auto"/>
              </w:rPr>
            </w:pPr>
          </w:p>
          <w:p w14:paraId="02F0612C">
            <w:pPr>
              <w:pStyle w:val="23"/>
              <w:bidi w:val="0"/>
              <w:rPr>
                <w:rFonts w:hint="default"/>
                <w:color w:val="auto"/>
              </w:rPr>
            </w:pPr>
          </w:p>
          <w:p w14:paraId="79BC66A0">
            <w:pPr>
              <w:pStyle w:val="23"/>
              <w:bidi w:val="0"/>
              <w:rPr>
                <w:rFonts w:hint="default"/>
                <w:color w:val="auto"/>
              </w:rPr>
            </w:pPr>
          </w:p>
        </w:tc>
      </w:tr>
    </w:tbl>
    <w:p w14:paraId="5EF53CB7">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r>
        <w:rPr>
          <w:rFonts w:hint="default" w:ascii="Times New Roman" w:hAnsi="Times New Roman" w:eastAsia="黑体" w:cs="Times New Roman"/>
          <w:snapToGrid w:val="0"/>
          <w:color w:val="auto"/>
          <w:sz w:val="30"/>
          <w:szCs w:val="30"/>
        </w:rPr>
        <w:t>四、主要环境影响和保护措施</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68"/>
        <w:gridCol w:w="8841"/>
      </w:tblGrid>
      <w:tr w14:paraId="5740C8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dxa"/>
            <w:noWrap w:val="0"/>
            <w:tcMar>
              <w:left w:w="28" w:type="dxa"/>
              <w:right w:w="28" w:type="dxa"/>
            </w:tcMar>
            <w:vAlign w:val="center"/>
          </w:tcPr>
          <w:p w14:paraId="2FF9C69F">
            <w:pPr>
              <w:pStyle w:val="1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14:paraId="3A88061E">
            <w:pPr>
              <w:pStyle w:val="1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14:paraId="149004D6">
            <w:pPr>
              <w:pStyle w:val="1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14:paraId="62CF3668">
            <w:pPr>
              <w:pStyle w:val="1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14:paraId="7F8374BF">
            <w:pPr>
              <w:pStyle w:val="1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905" w:type="dxa"/>
            <w:noWrap w:val="0"/>
            <w:vAlign w:val="center"/>
          </w:tcPr>
          <w:p w14:paraId="594965C3">
            <w:pPr>
              <w:keepNext w:val="0"/>
              <w:keepLines w:val="0"/>
              <w:pageBreakBefore w:val="0"/>
              <w:widowControl w:val="0"/>
              <w:kinsoku/>
              <w:wordWrap/>
              <w:overflowPunct/>
              <w:topLinePunct w:val="0"/>
              <w:autoSpaceDE/>
              <w:autoSpaceDN/>
              <w:bidi w:val="0"/>
              <w:adjustRightInd w:val="0"/>
              <w:snapToGrid w:val="0"/>
              <w:spacing w:before="218" w:beforeLines="50"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本项目施工期</w:t>
            </w:r>
            <w:r>
              <w:rPr>
                <w:rFonts w:hint="default" w:ascii="Times New Roman" w:hAnsi="Times New Roman" w:cs="Times New Roman"/>
                <w:color w:val="auto"/>
                <w:sz w:val="24"/>
                <w:szCs w:val="24"/>
                <w:highlight w:val="none"/>
                <w:lang w:val="en-US" w:eastAsia="zh-CN"/>
              </w:rPr>
              <w:t>主要为</w:t>
            </w:r>
            <w:r>
              <w:rPr>
                <w:rFonts w:hint="eastAsia" w:ascii="Times New Roman" w:hAnsi="Times New Roman" w:cs="Times New Roman"/>
                <w:color w:val="auto"/>
                <w:sz w:val="24"/>
                <w:szCs w:val="24"/>
                <w:highlight w:val="none"/>
                <w:lang w:val="en-US" w:eastAsia="zh-CN"/>
              </w:rPr>
              <w:t>主体工程</w:t>
            </w:r>
            <w:r>
              <w:rPr>
                <w:rFonts w:hint="default" w:ascii="Times New Roman" w:hAnsi="Times New Roman" w:cs="Times New Roman"/>
                <w:color w:val="auto"/>
                <w:sz w:val="24"/>
                <w:szCs w:val="24"/>
                <w:highlight w:val="none"/>
                <w:lang w:val="en-US" w:eastAsia="zh-CN"/>
              </w:rPr>
              <w:t>建设和设备安装</w:t>
            </w:r>
            <w:r>
              <w:rPr>
                <w:rFonts w:hint="eastAsia" w:ascii="Times New Roman" w:hAnsi="Times New Roman" w:cs="Times New Roman"/>
                <w:color w:val="auto"/>
                <w:sz w:val="24"/>
                <w:szCs w:val="24"/>
                <w:highlight w:val="none"/>
                <w:lang w:val="en-US" w:eastAsia="zh-CN"/>
              </w:rPr>
              <w:t>、装修等</w:t>
            </w:r>
            <w:r>
              <w:rPr>
                <w:rFonts w:hint="default" w:ascii="Times New Roman" w:hAnsi="Times New Roman" w:cs="Times New Roman"/>
                <w:color w:val="auto"/>
                <w:sz w:val="24"/>
                <w:szCs w:val="24"/>
                <w:highlight w:val="none"/>
                <w:lang w:val="en-US" w:eastAsia="zh-CN"/>
              </w:rPr>
              <w:t>，施工期</w:t>
            </w:r>
            <w:r>
              <w:rPr>
                <w:rFonts w:hint="default" w:ascii="Times New Roman" w:hAnsi="Times New Roman" w:cs="Times New Roman"/>
                <w:color w:val="auto"/>
                <w:sz w:val="24"/>
                <w:szCs w:val="24"/>
                <w:highlight w:val="none"/>
              </w:rPr>
              <w:t>影响如下：</w:t>
            </w:r>
          </w:p>
          <w:p w14:paraId="785A1B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废气</w:t>
            </w:r>
          </w:p>
          <w:p w14:paraId="13214E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本项目施工期废气的主要来源为施工扬尘、施工机械运行产生的燃油废气、装修阶段的油漆废气，其中以施工扬尘对环境空气质量影响最大。</w:t>
            </w:r>
          </w:p>
          <w:p w14:paraId="1D461FB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1.1扬尘</w:t>
            </w:r>
          </w:p>
          <w:p w14:paraId="69D25CC5">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工程施工期对环境空气的污染主要来自工地扬尘。在整个施工阶段，整理场地、打桩、挖土、材料运输、装卸等过程都会产生扬尘污染，尤其是干燥无雨的有风天气，扬尘对大气的污染较为严重，主要是增加大气的TSP。其来源主要为车辆行驶扬尘、堆场扬尘和建筑扬尘</w:t>
            </w:r>
            <w:r>
              <w:rPr>
                <w:rFonts w:hint="default" w:ascii="Times New Roman" w:hAnsi="Times New Roman" w:cs="Times New Roman"/>
                <w:color w:val="auto"/>
                <w:sz w:val="24"/>
                <w:szCs w:val="24"/>
                <w:highlight w:val="none"/>
              </w:rPr>
              <w:t>。</w:t>
            </w:r>
          </w:p>
          <w:p w14:paraId="5365AE86">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eastAsia="zh-CN"/>
              </w:rPr>
              <w:t>施工期扬尘的主要治理措施是洒水抑尘。除此之外，因</w:t>
            </w:r>
            <w:r>
              <w:rPr>
                <w:rFonts w:hint="default" w:ascii="Times New Roman" w:hAnsi="Times New Roman" w:cs="Times New Roman"/>
                <w:color w:val="auto"/>
                <w:sz w:val="24"/>
                <w:szCs w:val="24"/>
                <w:highlight w:val="none"/>
              </w:rPr>
              <w:t>厂界周围无环境敏感点，</w:t>
            </w:r>
            <w:r>
              <w:rPr>
                <w:rFonts w:hint="eastAsia" w:ascii="Times New Roman" w:hAnsi="Times New Roman" w:cs="Times New Roman"/>
                <w:color w:val="auto"/>
                <w:sz w:val="24"/>
                <w:szCs w:val="24"/>
                <w:highlight w:val="none"/>
                <w:lang w:eastAsia="zh-CN"/>
              </w:rPr>
              <w:t>为</w:t>
            </w:r>
            <w:r>
              <w:rPr>
                <w:rFonts w:hint="default" w:ascii="Times New Roman" w:hAnsi="Times New Roman" w:cs="Times New Roman"/>
                <w:color w:val="auto"/>
                <w:sz w:val="24"/>
                <w:szCs w:val="24"/>
                <w:highlight w:val="none"/>
              </w:rPr>
              <w:t>进一步减轻施工扬尘对周边环境的影响，项目必须采取合理可行的控制措施，尽量</w:t>
            </w:r>
            <w:r>
              <w:rPr>
                <w:rFonts w:hint="eastAsia" w:ascii="Times New Roman" w:hAnsi="Times New Roman" w:cs="Times New Roman"/>
                <w:color w:val="auto"/>
                <w:sz w:val="24"/>
                <w:szCs w:val="24"/>
                <w:highlight w:val="none"/>
                <w:lang w:eastAsia="zh-CN"/>
              </w:rPr>
              <w:t>进一步</w:t>
            </w:r>
            <w:r>
              <w:rPr>
                <w:rFonts w:hint="default" w:ascii="Times New Roman" w:hAnsi="Times New Roman" w:cs="Times New Roman"/>
                <w:color w:val="auto"/>
                <w:sz w:val="24"/>
                <w:szCs w:val="24"/>
                <w:highlight w:val="none"/>
              </w:rPr>
              <w:t>减轻其污染程度，缩小其影响范围。其主要对策有：</w:t>
            </w:r>
          </w:p>
          <w:p w14:paraId="5A72C925">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①对施工现场进行科学管理，砂石料应统一堆放，水泥应设专门库房堆放，减少搬运环节，搬运时轻举轻放，防止包装袋破裂。</w:t>
            </w:r>
          </w:p>
          <w:p w14:paraId="208C25C1">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②建筑材料和建筑垃圾应及时运走。</w:t>
            </w:r>
          </w:p>
          <w:p w14:paraId="08A8A902">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③风速过大时应停止施工作业，并对堆放的砂石等建筑材料进行遮盖处理。</w:t>
            </w:r>
          </w:p>
          <w:p w14:paraId="3BC6B2EE">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④对开挖作业面、堆放的建筑垃圾、材料等表面进行适当洒水抑尘，防止因开挖和材料长期堆放、表面干燥引起扬尘。</w:t>
            </w:r>
          </w:p>
          <w:p w14:paraId="3CE63F0C">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⑤项目建设期间，对于临时堆场，须采取覆盖防尘布，且定期喷洒粉尘抑制剂。</w:t>
            </w:r>
          </w:p>
          <w:p w14:paraId="59128A0F">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eastAsia" w:ascii="宋体" w:hAnsi="宋体" w:eastAsia="宋体" w:cs="宋体"/>
                <w:color w:val="auto"/>
                <w:sz w:val="24"/>
                <w:lang w:bidi="ar"/>
              </w:rPr>
              <w:t>⑥</w:t>
            </w:r>
            <w:r>
              <w:rPr>
                <w:rFonts w:hint="default" w:ascii="Times New Roman" w:hAnsi="Times New Roman" w:cs="Times New Roman"/>
                <w:color w:val="auto"/>
                <w:sz w:val="24"/>
                <w:lang w:bidi="ar"/>
              </w:rPr>
              <w:t>加强施工过程环境管理，施工单位应将环境污染有效控制，对环境有影响的施工作业应按照国家有关的环保管理制度要求实施。同时，施工过程需严格落实建筑施工6个100%抑尘措施，即100%围挡封闭</w:t>
            </w:r>
            <w:r>
              <w:rPr>
                <w:rFonts w:hint="eastAsia" w:ascii="Times New Roman" w:hAnsi="Times New Roman" w:cs="Times New Roman"/>
                <w:color w:val="auto"/>
                <w:sz w:val="24"/>
                <w:lang w:eastAsia="zh-CN" w:bidi="ar"/>
              </w:rPr>
              <w:t>（</w:t>
            </w:r>
            <w:r>
              <w:rPr>
                <w:rFonts w:hint="eastAsia" w:ascii="Times New Roman" w:hAnsi="Times New Roman" w:cs="Times New Roman"/>
                <w:color w:val="auto"/>
                <w:sz w:val="24"/>
                <w:lang w:val="en-US" w:eastAsia="zh-CN" w:bidi="ar"/>
              </w:rPr>
              <w:t>高度不小于2.5m</w:t>
            </w:r>
            <w:r>
              <w:rPr>
                <w:rFonts w:hint="eastAsia" w:ascii="Times New Roman" w:hAnsi="Times New Roman" w:cs="Times New Roman"/>
                <w:color w:val="auto"/>
                <w:sz w:val="24"/>
                <w:lang w:eastAsia="zh-CN" w:bidi="ar"/>
              </w:rPr>
              <w:t>）</w:t>
            </w:r>
            <w:r>
              <w:rPr>
                <w:rFonts w:hint="default" w:ascii="Times New Roman" w:hAnsi="Times New Roman" w:cs="Times New Roman"/>
                <w:color w:val="auto"/>
                <w:sz w:val="24"/>
                <w:lang w:bidi="ar"/>
              </w:rPr>
              <w:t>、100%物料覆盖、100%车辆冲洗、100%道路硬化、100%湿法作业、100%密闭运输。本项目在建设过程中需严格执行本环评提出的上述各项措施后，可使施工扬尘影响降低至较低水平。施工期对大气环境的影响只是局部的、有限期的，属可接受程度</w:t>
            </w:r>
            <w:r>
              <w:rPr>
                <w:rFonts w:hint="default" w:ascii="Times New Roman" w:hAnsi="Times New Roman" w:cs="Times New Roman"/>
                <w:color w:val="auto"/>
                <w:sz w:val="24"/>
                <w:szCs w:val="24"/>
                <w:highlight w:val="none"/>
              </w:rPr>
              <w:t>。</w:t>
            </w:r>
          </w:p>
          <w:p w14:paraId="08F9B12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1.2施工机械尾气</w:t>
            </w:r>
          </w:p>
          <w:p w14:paraId="7D79E7F2">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施工期间，使用机动车运送原材料、设备和建筑机械设备的运转，均会排放一定量的CO、NO</w:t>
            </w:r>
            <w:r>
              <w:rPr>
                <w:rFonts w:hint="eastAsia" w:ascii="Times New Roman" w:hAnsi="Times New Roman" w:cs="Times New Roman"/>
                <w:color w:val="auto"/>
                <w:sz w:val="24"/>
                <w:szCs w:val="24"/>
                <w:highlight w:val="none"/>
                <w:vertAlign w:val="subscript"/>
                <w:lang w:val="en-US" w:eastAsia="zh-CN"/>
              </w:rPr>
              <w:t>x</w:t>
            </w:r>
            <w:r>
              <w:rPr>
                <w:rFonts w:hint="default" w:ascii="Times New Roman" w:hAnsi="Times New Roman" w:cs="Times New Roman"/>
                <w:color w:val="auto"/>
                <w:sz w:val="24"/>
                <w:szCs w:val="24"/>
                <w:highlight w:val="none"/>
                <w:lang w:val="en-US" w:eastAsia="zh-CN"/>
              </w:rPr>
              <w:t>以及未完全燃烧的HC等，其特点是排放量小，且属间断性无组织排放，由于其这一特点，加之施工场地较开阔，扩散条件良好，因此对其不加处理就可达到相应的排放标准。在施工期内应多加注意施工设备的维护，使其能够正常的运行，提高设备原料的利用率</w:t>
            </w:r>
            <w:r>
              <w:rPr>
                <w:rFonts w:hint="default" w:ascii="Times New Roman" w:hAnsi="Times New Roman" w:cs="Times New Roman"/>
                <w:color w:val="auto"/>
                <w:sz w:val="24"/>
                <w:szCs w:val="24"/>
                <w:highlight w:val="none"/>
              </w:rPr>
              <w:t>。</w:t>
            </w:r>
          </w:p>
          <w:p w14:paraId="7A57817D">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综上，施工期的主要污染是扬尘，通过设置喷淋围挡，设置车辆冲洗点，堆场及裸露地表采用密目网遮盖，车辆运输采用篷布覆盖等措施后，可大大减轻施工扬尘对周围空气环境的影响，而不会产生区域性污染。施工对周围环境空气质量的影响是短时期的，施工结束后，其影响即消失</w:t>
            </w:r>
            <w:r>
              <w:rPr>
                <w:rFonts w:hint="eastAsia" w:ascii="Times New Roman" w:hAnsi="Times New Roman" w:cs="Times New Roman"/>
                <w:color w:val="auto"/>
                <w:sz w:val="24"/>
                <w:szCs w:val="24"/>
                <w:highlight w:val="none"/>
                <w:lang w:val="en-US" w:eastAsia="zh-CN"/>
              </w:rPr>
              <w:t>。</w:t>
            </w:r>
          </w:p>
          <w:p w14:paraId="79B6A95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废水</w:t>
            </w:r>
          </w:p>
          <w:p w14:paraId="75D71788">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施工期废水主要来源于</w:t>
            </w:r>
            <w:r>
              <w:rPr>
                <w:rFonts w:hint="eastAsia" w:ascii="Times New Roman" w:hAnsi="Times New Roman" w:eastAsia="宋体" w:cs="Times New Roman"/>
                <w:color w:val="auto"/>
                <w:sz w:val="24"/>
                <w:szCs w:val="24"/>
                <w:highlight w:val="none"/>
                <w:lang w:val="en-US" w:eastAsia="zh-CN"/>
              </w:rPr>
              <w:t>施工废水和</w:t>
            </w:r>
            <w:r>
              <w:rPr>
                <w:rFonts w:hint="default" w:ascii="Times New Roman" w:hAnsi="Times New Roman" w:eastAsia="宋体" w:cs="Times New Roman"/>
                <w:color w:val="auto"/>
                <w:sz w:val="24"/>
                <w:szCs w:val="24"/>
                <w:highlight w:val="none"/>
                <w:lang w:val="en-US" w:eastAsia="zh-CN"/>
              </w:rPr>
              <w:t>施工人员产生的生活污水</w:t>
            </w:r>
            <w:r>
              <w:rPr>
                <w:rFonts w:hint="eastAsia" w:ascii="Times New Roman" w:hAnsi="Times New Roman" w:eastAsia="宋体" w:cs="Times New Roman"/>
                <w:color w:val="auto"/>
                <w:sz w:val="24"/>
                <w:szCs w:val="24"/>
                <w:highlight w:val="none"/>
                <w:lang w:val="en-US" w:eastAsia="zh-CN"/>
              </w:rPr>
              <w:t>。施工废水经2m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沉淀池沉淀后回用于施工用水，施工废水不外排；</w:t>
            </w:r>
            <w:r>
              <w:rPr>
                <w:rFonts w:hint="default" w:ascii="Times New Roman" w:hAnsi="Times New Roman" w:eastAsia="宋体" w:cs="Times New Roman"/>
                <w:color w:val="auto"/>
                <w:sz w:val="24"/>
                <w:szCs w:val="24"/>
                <w:highlight w:val="none"/>
                <w:lang w:val="en-US" w:eastAsia="zh-CN"/>
              </w:rPr>
              <w:t>生活污水</w:t>
            </w:r>
            <w:r>
              <w:rPr>
                <w:rFonts w:hint="eastAsia" w:ascii="Times New Roman" w:hAnsi="Times New Roman" w:eastAsia="宋体" w:cs="Times New Roman"/>
                <w:color w:val="auto"/>
                <w:sz w:val="24"/>
                <w:szCs w:val="24"/>
                <w:highlight w:val="none"/>
                <w:lang w:val="en-US" w:eastAsia="zh-CN"/>
              </w:rPr>
              <w:t>依托少兴氧气充装站</w:t>
            </w:r>
            <w:r>
              <w:rPr>
                <w:rFonts w:hint="eastAsia" w:cs="Times New Roman"/>
                <w:color w:val="auto"/>
                <w:sz w:val="24"/>
                <w:szCs w:val="24"/>
                <w:highlight w:val="none"/>
                <w:lang w:val="en-US" w:eastAsia="zh-CN"/>
              </w:rPr>
              <w:t>化粪池</w:t>
            </w:r>
            <w:r>
              <w:rPr>
                <w:rFonts w:hint="default" w:ascii="Times New Roman" w:hAnsi="Times New Roman" w:eastAsia="宋体" w:cs="Times New Roman"/>
                <w:color w:val="auto"/>
                <w:sz w:val="24"/>
                <w:szCs w:val="24"/>
                <w:highlight w:val="none"/>
                <w:lang w:val="en-US" w:eastAsia="zh-CN"/>
              </w:rPr>
              <w:t>处置。</w:t>
            </w:r>
          </w:p>
          <w:p w14:paraId="6B285A3A">
            <w:pPr>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综上所述，本项目施工期产生的废水对区域水环境影响很小。</w:t>
            </w:r>
          </w:p>
          <w:p w14:paraId="78881137">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噪声</w:t>
            </w:r>
          </w:p>
          <w:p w14:paraId="30474462">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施工过程中，由于各种施工机械设备的运转和各类车辆的运行，不可避免地将产生噪声污染。施工中使用的各种施工机械、运输车辆都是噪声的产生源。为最大限度地减少噪声对环境的影响，施工期应采取以下噪声防治措施：</w:t>
            </w:r>
          </w:p>
          <w:p w14:paraId="0AAC904B">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⑴合理安排施工作业时间</w:t>
            </w:r>
            <w:r>
              <w:rPr>
                <w:rFonts w:hint="eastAsia" w:cs="Times New Roman"/>
                <w:color w:val="auto"/>
                <w:sz w:val="24"/>
                <w:szCs w:val="24"/>
                <w:highlight w:val="none"/>
                <w:lang w:val="en-US" w:eastAsia="zh-CN"/>
              </w:rPr>
              <w:t>，尽量集中于8:00-20:00</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避免夜间施工，</w:t>
            </w:r>
            <w:r>
              <w:rPr>
                <w:rFonts w:hint="default" w:ascii="Times New Roman" w:hAnsi="Times New Roman" w:eastAsia="宋体" w:cs="Times New Roman"/>
                <w:color w:val="auto"/>
                <w:sz w:val="24"/>
                <w:szCs w:val="24"/>
                <w:highlight w:val="none"/>
                <w:lang w:val="en-US" w:eastAsia="zh-CN"/>
              </w:rPr>
              <w:t>尽量避免高噪声设备同时施工；</w:t>
            </w:r>
          </w:p>
          <w:p w14:paraId="5984FB2B">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⑵降低设备声级，尽量选用低噪声机械设备或带隔声、消声的设备，同时做好施工机械的维护和保养，有效降低机械设备运转的噪声源强；</w:t>
            </w:r>
          </w:p>
          <w:p w14:paraId="3771DD24">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⑶降低人为噪声：按规定操作机械设备，物料装卸过程中，尽量减少碰撞声音；尽量少用哨子、鸣笛等指挥作业，控制车辆鸣笛。</w:t>
            </w:r>
          </w:p>
          <w:p w14:paraId="3A0ACF0B">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施工单位通过合理安排施工机械设备的位置，并对高噪声设备采取减振、隔音、选择合理施工时间等措施，可保证项目施工场界噪声满足《建筑施工场界环境噪声排放标准》（GB12523-2011）的要求，使施工噪声对环境的影响降到最低。</w:t>
            </w:r>
          </w:p>
          <w:p w14:paraId="5B9B3D9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w:t>
            </w:r>
            <w:r>
              <w:rPr>
                <w:rFonts w:hint="eastAsia"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lang w:val="en-US" w:eastAsia="zh-CN"/>
              </w:rPr>
              <w:t>固体废物</w:t>
            </w:r>
          </w:p>
          <w:p w14:paraId="28C5D57D">
            <w:pPr>
              <w:pStyle w:val="56"/>
              <w:pageBreakBefore w:val="0"/>
              <w:widowControl w:val="0"/>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施工期固体废物主要来源于两个方面，一是施工废物，主要包括撒落沙石料、破碎块料、混凝土、废弃设备零件等；二是生活垃圾，易招引蚊蝇，如不及时清运，将对周围环境造成一定影响，项目施工期固体废物防治采取的措施有：</w:t>
            </w:r>
          </w:p>
          <w:p w14:paraId="2E666061">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针对项目特点，项目施工期采取如下固废防治措施：</w:t>
            </w:r>
          </w:p>
          <w:p w14:paraId="600F5204">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⑴在施工过程中产生的废包装袋等建筑垃圾，项目建设单位和施工单位应加强管理，做好防尘和清运工作。</w:t>
            </w:r>
          </w:p>
          <w:p w14:paraId="10AFB346">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⑵建筑垃圾必须按环境卫生管理条例的有关规定进行处置，不能随意抛弃、转移和扩散，更不能向居民区附近转移，应采取有计划的堆放，按要求分类处置、综合回收利用后运到</w:t>
            </w:r>
            <w:r>
              <w:rPr>
                <w:rFonts w:hint="eastAsia" w:ascii="Times New Roman" w:hAnsi="Times New Roman" w:eastAsia="宋体" w:cs="Times New Roman"/>
                <w:color w:val="auto"/>
                <w:sz w:val="24"/>
                <w:szCs w:val="24"/>
                <w:highlight w:val="none"/>
                <w:lang w:val="en-US" w:eastAsia="zh-CN"/>
              </w:rPr>
              <w:t>送至园区指定地点</w:t>
            </w:r>
            <w:r>
              <w:rPr>
                <w:rFonts w:hint="default" w:ascii="Times New Roman" w:hAnsi="Times New Roman" w:eastAsia="宋体" w:cs="Times New Roman"/>
                <w:color w:val="auto"/>
                <w:sz w:val="24"/>
                <w:szCs w:val="24"/>
                <w:highlight w:val="none"/>
                <w:lang w:val="en-US" w:eastAsia="zh-CN"/>
              </w:rPr>
              <w:t>处置，严禁乱堆乱放。</w:t>
            </w:r>
          </w:p>
          <w:p w14:paraId="59C5CAA2">
            <w:pPr>
              <w:pStyle w:val="56"/>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⑶生活垃圾可清运至园区垃圾中转站，之后由环</w:t>
            </w:r>
            <w:r>
              <w:rPr>
                <w:rFonts w:hint="eastAsia" w:ascii="Times New Roman" w:hAnsi="Times New Roman" w:eastAsia="宋体" w:cs="Times New Roman"/>
                <w:color w:val="auto"/>
                <w:sz w:val="24"/>
                <w:szCs w:val="24"/>
                <w:highlight w:val="none"/>
                <w:lang w:val="en-US" w:eastAsia="zh-CN"/>
              </w:rPr>
              <w:t>卫</w:t>
            </w:r>
            <w:r>
              <w:rPr>
                <w:rFonts w:hint="default" w:ascii="Times New Roman" w:hAnsi="Times New Roman" w:eastAsia="宋体" w:cs="Times New Roman"/>
                <w:color w:val="auto"/>
                <w:sz w:val="24"/>
                <w:szCs w:val="24"/>
                <w:highlight w:val="none"/>
                <w:lang w:val="en-US" w:eastAsia="zh-CN"/>
              </w:rPr>
              <w:t>部门处置。</w:t>
            </w:r>
          </w:p>
          <w:p w14:paraId="79EBDD6E">
            <w:pPr>
              <w:pStyle w:val="23"/>
              <w:bidi w:val="0"/>
              <w:rPr>
                <w:rFonts w:hint="default"/>
                <w:color w:val="auto"/>
              </w:rPr>
            </w:pPr>
            <w:r>
              <w:rPr>
                <w:rFonts w:hint="default"/>
                <w:color w:val="auto"/>
                <w:lang w:val="en-US" w:eastAsia="zh-CN"/>
              </w:rPr>
              <w:t>在采取上述污染防治措施后，可有效的将施工期固废不利影响控制在最小程度和范围内，防治措施可行</w:t>
            </w:r>
            <w:r>
              <w:rPr>
                <w:rFonts w:hint="eastAsia"/>
                <w:color w:val="auto"/>
                <w:lang w:val="en-US" w:eastAsia="zh-CN"/>
              </w:rPr>
              <w:t>。</w:t>
            </w:r>
          </w:p>
        </w:tc>
      </w:tr>
      <w:tr w14:paraId="0DF419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dxa"/>
            <w:noWrap w:val="0"/>
            <w:tcMar>
              <w:left w:w="28" w:type="dxa"/>
              <w:right w:w="28" w:type="dxa"/>
            </w:tcMar>
            <w:vAlign w:val="center"/>
          </w:tcPr>
          <w:p w14:paraId="6058A41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5748C84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500537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0E3DCCC5">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355A86C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3DDBC4E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措施</w:t>
            </w:r>
          </w:p>
        </w:tc>
        <w:tc>
          <w:tcPr>
            <w:tcW w:w="8905" w:type="dxa"/>
            <w:noWrap w:val="0"/>
            <w:vAlign w:val="center"/>
          </w:tcPr>
          <w:p w14:paraId="1631DDDE">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废气</w:t>
            </w:r>
          </w:p>
          <w:p w14:paraId="3569CB10">
            <w:pPr>
              <w:pStyle w:val="44"/>
              <w:bidi w:val="0"/>
              <w:rPr>
                <w:rFonts w:hint="eastAsia" w:cs="Times New Roman"/>
                <w:color w:val="auto"/>
                <w:lang w:val="en-US" w:eastAsia="zh-CN"/>
              </w:rPr>
            </w:pPr>
            <w:r>
              <w:rPr>
                <w:rFonts w:hint="default" w:ascii="Times New Roman" w:hAnsi="Times New Roman" w:eastAsia="宋体" w:cs="Times New Roman"/>
                <w:color w:val="auto"/>
              </w:rPr>
              <w:t>项目营运期</w:t>
            </w:r>
            <w:r>
              <w:rPr>
                <w:rFonts w:hint="default" w:cs="Times New Roman"/>
                <w:color w:val="auto"/>
                <w:lang w:val="en-US" w:eastAsia="zh-CN"/>
              </w:rPr>
              <w:t>产生的废气主要为</w:t>
            </w:r>
            <w:r>
              <w:rPr>
                <w:rFonts w:hint="eastAsia" w:cs="Times New Roman"/>
                <w:color w:val="auto"/>
                <w:lang w:val="en-US" w:eastAsia="zh-CN"/>
              </w:rPr>
              <w:t>丙烷装卸及分装作业无组织废气。</w:t>
            </w:r>
          </w:p>
          <w:p w14:paraId="21CB9522">
            <w:pPr>
              <w:pStyle w:val="44"/>
              <w:bidi w:val="0"/>
              <w:rPr>
                <w:rFonts w:hint="default" w:cs="Times New Roman"/>
                <w:color w:val="auto"/>
                <w:lang w:val="en-US" w:eastAsia="zh-CN"/>
              </w:rPr>
            </w:pPr>
            <w:r>
              <w:rPr>
                <w:rFonts w:hint="eastAsia" w:cs="Times New Roman"/>
                <w:color w:val="auto"/>
                <w:lang w:val="en-US" w:eastAsia="zh-CN"/>
              </w:rPr>
              <w:t>①装卸、存储过程产生的无组织废气</w:t>
            </w:r>
          </w:p>
          <w:p w14:paraId="0A80525C">
            <w:pPr>
              <w:pStyle w:val="44"/>
              <w:bidi w:val="0"/>
              <w:rPr>
                <w:rFonts w:hint="eastAsia" w:cs="Times New Roman"/>
                <w:color w:val="auto"/>
                <w:lang w:val="en-US" w:eastAsia="zh-CN"/>
              </w:rPr>
            </w:pPr>
            <w:r>
              <w:rPr>
                <w:rFonts w:hint="eastAsia" w:cs="Times New Roman"/>
                <w:color w:val="auto"/>
                <w:lang w:val="en-US" w:eastAsia="zh-CN"/>
              </w:rPr>
              <w:t>丙烷储罐为地埋式高压储罐。根据高压储罐设备结构，高压贮罐没有排放量，无呼吸损失和工作损失。</w:t>
            </w:r>
          </w:p>
          <w:p w14:paraId="1573F18C">
            <w:pPr>
              <w:pStyle w:val="44"/>
              <w:bidi w:val="0"/>
              <w:rPr>
                <w:rFonts w:hint="eastAsia" w:cs="Times New Roman"/>
                <w:color w:val="auto"/>
                <w:lang w:val="en-US" w:eastAsia="zh-CN"/>
              </w:rPr>
            </w:pPr>
            <w:r>
              <w:rPr>
                <w:rFonts w:hint="eastAsia" w:cs="Times New Roman"/>
                <w:color w:val="auto"/>
                <w:lang w:val="en-US" w:eastAsia="zh-CN"/>
              </w:rPr>
              <w:t>参考《石化行业VOCs污染源排查工作指南》中有机液体装卸挥发损失量的计算方式，统计本项目涉及的泵、压缩机、阀门件、连接件等，本项目丙烷各类设备排放速度最大值约4</w:t>
            </w:r>
            <w:r>
              <w:rPr>
                <w:rFonts w:hint="default" w:cs="Times New Roman"/>
                <w:color w:val="auto"/>
                <w:lang w:val="en-US" w:eastAsia="zh-CN"/>
              </w:rPr>
              <w:t>×</w:t>
            </w:r>
            <w:r>
              <w:rPr>
                <w:rFonts w:hint="eastAsia" w:cs="Times New Roman"/>
                <w:color w:val="auto"/>
                <w:lang w:val="en-US" w:eastAsia="zh-CN"/>
              </w:rPr>
              <w:t>10</w:t>
            </w:r>
            <w:r>
              <w:rPr>
                <w:rFonts w:hint="eastAsia" w:cs="Times New Roman"/>
                <w:color w:val="auto"/>
                <w:vertAlign w:val="superscript"/>
                <w:lang w:val="en-US" w:eastAsia="zh-CN"/>
              </w:rPr>
              <w:t>-4</w:t>
            </w:r>
            <w:r>
              <w:rPr>
                <w:rFonts w:hint="eastAsia" w:cs="Times New Roman"/>
                <w:color w:val="auto"/>
                <w:lang w:val="en-US" w:eastAsia="zh-CN"/>
              </w:rPr>
              <w:t>kg/h，35kg/a</w:t>
            </w:r>
            <w:r>
              <w:rPr>
                <w:rFonts w:hint="default" w:cs="Times New Roman"/>
                <w:color w:val="auto"/>
                <w:lang w:val="en-US" w:eastAsia="zh-CN"/>
              </w:rPr>
              <w:t>。</w:t>
            </w:r>
          </w:p>
          <w:p w14:paraId="7D002086">
            <w:pPr>
              <w:pStyle w:val="44"/>
              <w:bidi w:val="0"/>
              <w:rPr>
                <w:rFonts w:hint="eastAsia" w:cs="Times New Roman"/>
                <w:color w:val="auto"/>
                <w:lang w:val="en-US" w:eastAsia="zh-CN"/>
              </w:rPr>
            </w:pPr>
            <w:r>
              <w:rPr>
                <w:rFonts w:hint="eastAsia" w:cs="Times New Roman"/>
                <w:color w:val="auto"/>
                <w:lang w:val="en-US" w:eastAsia="zh-CN"/>
              </w:rPr>
              <w:t xml:space="preserve">②分装作业无组织废气 </w:t>
            </w:r>
          </w:p>
          <w:p w14:paraId="417FC98C">
            <w:pPr>
              <w:pStyle w:val="44"/>
              <w:bidi w:val="0"/>
              <w:rPr>
                <w:rFonts w:hint="eastAsia" w:cs="Times New Roman"/>
                <w:color w:val="auto"/>
                <w:lang w:val="en-US" w:eastAsia="zh-CN"/>
              </w:rPr>
            </w:pPr>
            <w:r>
              <w:rPr>
                <w:rFonts w:hint="eastAsia" w:cs="Times New Roman"/>
                <w:color w:val="auto"/>
                <w:lang w:val="en-US" w:eastAsia="zh-CN"/>
              </w:rPr>
              <w:t>本项目所使用的丙烷分装机，其配备的充装接头均设有拉断阀，用以防止分装丙烷时，因意外启动而拉断加气软管或拉倒造成丙烷外泄。此外，加气嘴上配有自密封阀，可使加气操作既简便、又安全，同时能有效防止分装过程丙烷外泄。因此，本项目营运期丙烷分装过程无组织挥发量极小。全年设计分装10万瓶丙烷，参照丙烷加气枪的产品说明，加气拔枪最大损失丙烷1ml/次，丙烷全年无组织排放量为100L，共计50kg/a。</w:t>
            </w:r>
          </w:p>
          <w:p w14:paraId="1187E714">
            <w:pPr>
              <w:pStyle w:val="44"/>
              <w:bidi w:val="0"/>
              <w:rPr>
                <w:rFonts w:hint="eastAsia" w:cs="Times New Roman"/>
                <w:color w:val="auto"/>
                <w:lang w:val="en-US" w:eastAsia="zh-CN"/>
              </w:rPr>
            </w:pPr>
            <w:r>
              <w:rPr>
                <w:rFonts w:hint="eastAsia" w:cs="Times New Roman"/>
                <w:color w:val="auto"/>
                <w:lang w:val="en-US" w:eastAsia="zh-CN"/>
              </w:rPr>
              <w:t>本项目丙烷（以非甲烷总烃计）无组织排放量总计0.335t/a。</w:t>
            </w:r>
          </w:p>
          <w:p w14:paraId="3C6239C3">
            <w:pPr>
              <w:pStyle w:val="44"/>
              <w:bidi w:val="0"/>
              <w:rPr>
                <w:rFonts w:hint="default"/>
                <w:color w:val="auto"/>
                <w:kern w:val="2"/>
                <w:szCs w:val="22"/>
                <w:highlight w:val="yellow"/>
                <w:lang w:val="en-US" w:eastAsia="zh-CN"/>
              </w:rPr>
            </w:pPr>
            <w:r>
              <w:rPr>
                <w:rFonts w:hint="eastAsia" w:cs="Times New Roman"/>
                <w:color w:val="auto"/>
                <w:lang w:val="en-US" w:eastAsia="zh-CN"/>
              </w:rPr>
              <w:t>类比资料：参考2019年7月《抚顺石化公司烯烃厂新增丙烷原料罐工程项目环境影响评价报告》，其总贮罐能力6000m</w:t>
            </w:r>
            <w:r>
              <w:rPr>
                <w:rFonts w:hint="eastAsia" w:cs="Times New Roman"/>
                <w:color w:val="auto"/>
                <w:vertAlign w:val="superscript"/>
                <w:lang w:val="en-US" w:eastAsia="zh-CN"/>
              </w:rPr>
              <w:t>3</w:t>
            </w:r>
            <w:r>
              <w:rPr>
                <w:rFonts w:hint="eastAsia" w:cs="Times New Roman"/>
                <w:color w:val="auto"/>
                <w:lang w:val="en-US" w:eastAsia="zh-CN"/>
              </w:rPr>
              <w:t>丙烷，年周转丙烷12万吨，年无组织丙烷外排量1.59t/a；2017年《咸阳市秦虹气体制造有限公司丙烯丙烷充装站建设项目》，建设一台50m</w:t>
            </w:r>
            <w:r>
              <w:rPr>
                <w:rFonts w:hint="eastAsia" w:cs="Times New Roman"/>
                <w:color w:val="auto"/>
                <w:vertAlign w:val="superscript"/>
                <w:lang w:val="en-US" w:eastAsia="zh-CN"/>
              </w:rPr>
              <w:t>3</w:t>
            </w:r>
            <w:r>
              <w:rPr>
                <w:rFonts w:hint="eastAsia" w:cs="Times New Roman"/>
                <w:color w:val="auto"/>
                <w:lang w:val="en-US" w:eastAsia="zh-CN"/>
              </w:rPr>
              <w:t>和一台20m</w:t>
            </w:r>
            <w:r>
              <w:rPr>
                <w:rFonts w:hint="eastAsia" w:cs="Times New Roman"/>
                <w:color w:val="auto"/>
                <w:vertAlign w:val="superscript"/>
                <w:lang w:val="en-US" w:eastAsia="zh-CN"/>
              </w:rPr>
              <w:t>3</w:t>
            </w:r>
            <w:r>
              <w:rPr>
                <w:rFonts w:hint="eastAsia" w:cs="Times New Roman"/>
                <w:color w:val="auto"/>
                <w:lang w:val="en-US" w:eastAsia="zh-CN"/>
              </w:rPr>
              <w:t>丙烷卧式地埋式贮罐，年充装丙烷1200吨，年无组织丙烷排放0.306t/a，本项目年充装丙烷1500t/a，无组织丙烷外排量0.335t/a</w:t>
            </w:r>
            <w:r>
              <w:rPr>
                <w:rFonts w:hint="eastAsia" w:cs="Times New Roman"/>
                <w:color w:val="auto"/>
                <w:lang w:eastAsia="zh-CN"/>
              </w:rPr>
              <w:t>同实际相符。</w:t>
            </w:r>
          </w:p>
          <w:p w14:paraId="08D5DEDB">
            <w:pPr>
              <w:pStyle w:val="25"/>
              <w:bidi w:val="0"/>
              <w:rPr>
                <w:rFonts w:hint="eastAsia"/>
                <w:color w:val="auto"/>
                <w:lang w:val="en-US" w:eastAsia="zh-CN"/>
              </w:rPr>
            </w:pPr>
            <w:r>
              <w:rPr>
                <w:rFonts w:hint="eastAsia"/>
                <w:color w:val="auto"/>
                <w:lang w:val="en-US" w:eastAsia="zh-CN"/>
              </w:rPr>
              <w:t>表4-3               本项目非甲烷总烃废气产生源强</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1657"/>
              <w:gridCol w:w="1372"/>
              <w:gridCol w:w="1869"/>
              <w:gridCol w:w="952"/>
              <w:gridCol w:w="1507"/>
            </w:tblGrid>
            <w:tr w14:paraId="4F12A7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59" w:type="dxa"/>
                  <w:gridSpan w:val="2"/>
                  <w:noWrap w:val="0"/>
                  <w:vAlign w:val="center"/>
                </w:tcPr>
                <w:p w14:paraId="68F70875">
                  <w:pPr>
                    <w:pStyle w:val="24"/>
                    <w:bidi w:val="0"/>
                    <w:jc w:val="center"/>
                    <w:rPr>
                      <w:rFonts w:hint="default"/>
                      <w:b/>
                      <w:bCs/>
                      <w:color w:val="auto"/>
                      <w:lang w:val="en-US" w:eastAsia="zh-CN"/>
                    </w:rPr>
                  </w:pPr>
                  <w:r>
                    <w:rPr>
                      <w:rFonts w:hint="eastAsia"/>
                      <w:b/>
                      <w:bCs/>
                      <w:color w:val="auto"/>
                      <w:lang w:val="en-US" w:eastAsia="zh-CN"/>
                    </w:rPr>
                    <w:t>污染源名称</w:t>
                  </w:r>
                </w:p>
              </w:tc>
              <w:tc>
                <w:tcPr>
                  <w:tcW w:w="1376" w:type="dxa"/>
                  <w:noWrap w:val="0"/>
                  <w:vAlign w:val="center"/>
                </w:tcPr>
                <w:p w14:paraId="36428E05">
                  <w:pPr>
                    <w:pStyle w:val="24"/>
                    <w:bidi w:val="0"/>
                    <w:jc w:val="center"/>
                    <w:rPr>
                      <w:rFonts w:hint="default"/>
                      <w:b/>
                      <w:bCs/>
                      <w:color w:val="auto"/>
                      <w:lang w:val="en-US" w:eastAsia="zh-CN"/>
                    </w:rPr>
                  </w:pPr>
                  <w:r>
                    <w:rPr>
                      <w:rFonts w:hint="eastAsia"/>
                      <w:b/>
                      <w:bCs/>
                      <w:color w:val="auto"/>
                      <w:lang w:val="en-US" w:eastAsia="zh-CN"/>
                    </w:rPr>
                    <w:t>排放系数</w:t>
                  </w:r>
                </w:p>
              </w:tc>
              <w:tc>
                <w:tcPr>
                  <w:tcW w:w="1888" w:type="dxa"/>
                  <w:noWrap w:val="0"/>
                  <w:vAlign w:val="center"/>
                </w:tcPr>
                <w:p w14:paraId="16847CCE">
                  <w:pPr>
                    <w:pStyle w:val="24"/>
                    <w:bidi w:val="0"/>
                    <w:jc w:val="center"/>
                    <w:rPr>
                      <w:rFonts w:hint="default"/>
                      <w:b/>
                      <w:bCs/>
                      <w:color w:val="auto"/>
                      <w:lang w:val="en-US" w:eastAsia="zh-CN"/>
                    </w:rPr>
                  </w:pPr>
                  <w:r>
                    <w:rPr>
                      <w:rFonts w:hint="eastAsia"/>
                      <w:b/>
                      <w:bCs/>
                      <w:color w:val="auto"/>
                      <w:lang w:val="en-US" w:eastAsia="zh-CN"/>
                    </w:rPr>
                    <w:t>通过量或转过量（t/a）</w:t>
                  </w:r>
                </w:p>
              </w:tc>
              <w:tc>
                <w:tcPr>
                  <w:tcW w:w="962" w:type="dxa"/>
                  <w:noWrap w:val="0"/>
                  <w:vAlign w:val="center"/>
                </w:tcPr>
                <w:p w14:paraId="00BF2E12">
                  <w:pPr>
                    <w:pStyle w:val="24"/>
                    <w:bidi w:val="0"/>
                    <w:jc w:val="center"/>
                    <w:rPr>
                      <w:rFonts w:hint="default"/>
                      <w:b/>
                      <w:bCs/>
                      <w:color w:val="auto"/>
                      <w:lang w:val="en-US" w:eastAsia="zh-CN"/>
                    </w:rPr>
                  </w:pPr>
                  <w:r>
                    <w:rPr>
                      <w:rFonts w:hint="eastAsia"/>
                      <w:b/>
                      <w:bCs/>
                      <w:color w:val="auto"/>
                      <w:lang w:val="en-US" w:eastAsia="zh-CN"/>
                    </w:rPr>
                    <w:t>处置措施</w:t>
                  </w:r>
                </w:p>
              </w:tc>
              <w:tc>
                <w:tcPr>
                  <w:tcW w:w="1518" w:type="dxa"/>
                  <w:noWrap w:val="0"/>
                  <w:vAlign w:val="center"/>
                </w:tcPr>
                <w:p w14:paraId="50E2615C">
                  <w:pPr>
                    <w:pStyle w:val="24"/>
                    <w:bidi w:val="0"/>
                    <w:jc w:val="center"/>
                    <w:rPr>
                      <w:rFonts w:hint="eastAsia"/>
                      <w:b/>
                      <w:bCs/>
                      <w:color w:val="auto"/>
                      <w:lang w:val="en-US" w:eastAsia="zh-CN"/>
                    </w:rPr>
                  </w:pPr>
                  <w:r>
                    <w:rPr>
                      <w:rFonts w:hint="eastAsia"/>
                      <w:b/>
                      <w:bCs/>
                      <w:color w:val="auto"/>
                      <w:lang w:val="en-US" w:eastAsia="zh-CN"/>
                    </w:rPr>
                    <w:t>非甲烷总烃排放量（t/a）</w:t>
                  </w:r>
                </w:p>
              </w:tc>
            </w:tr>
            <w:tr w14:paraId="53912A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9" w:type="dxa"/>
                  <w:noWrap w:val="0"/>
                  <w:vAlign w:val="center"/>
                </w:tcPr>
                <w:p w14:paraId="67A02300">
                  <w:pPr>
                    <w:pStyle w:val="24"/>
                    <w:bidi w:val="0"/>
                    <w:ind w:firstLine="0" w:firstLineChars="0"/>
                    <w:jc w:val="center"/>
                    <w:rPr>
                      <w:rFonts w:hint="eastAsia" w:cs="Times New Roman"/>
                      <w:color w:val="auto"/>
                      <w:lang w:val="en-US" w:eastAsia="zh-CN"/>
                    </w:rPr>
                  </w:pPr>
                  <w:r>
                    <w:rPr>
                      <w:rFonts w:hint="eastAsia" w:cs="Times New Roman"/>
                      <w:color w:val="auto"/>
                      <w:lang w:val="en-US" w:eastAsia="zh-CN"/>
                    </w:rPr>
                    <w:t>丙烷储罐</w:t>
                  </w:r>
                </w:p>
              </w:tc>
              <w:tc>
                <w:tcPr>
                  <w:tcW w:w="1680" w:type="dxa"/>
                  <w:noWrap w:val="0"/>
                  <w:vAlign w:val="center"/>
                </w:tcPr>
                <w:p w14:paraId="339654E2">
                  <w:pPr>
                    <w:pStyle w:val="24"/>
                    <w:bidi w:val="0"/>
                    <w:ind w:firstLine="0" w:firstLineChars="0"/>
                    <w:jc w:val="center"/>
                    <w:rPr>
                      <w:rFonts w:hint="default" w:cs="Times New Roman"/>
                      <w:color w:val="auto"/>
                      <w:lang w:val="en-US" w:eastAsia="zh-CN"/>
                    </w:rPr>
                  </w:pPr>
                  <w:r>
                    <w:rPr>
                      <w:rFonts w:hint="eastAsia" w:cs="Times New Roman"/>
                      <w:color w:val="auto"/>
                      <w:lang w:val="en-US" w:eastAsia="zh-CN"/>
                    </w:rPr>
                    <w:t>丙烷装卸</w:t>
                  </w:r>
                </w:p>
              </w:tc>
              <w:tc>
                <w:tcPr>
                  <w:tcW w:w="1376" w:type="dxa"/>
                  <w:noWrap w:val="0"/>
                  <w:vAlign w:val="center"/>
                </w:tcPr>
                <w:p w14:paraId="6803180B">
                  <w:pPr>
                    <w:pStyle w:val="24"/>
                    <w:bidi w:val="0"/>
                    <w:ind w:firstLine="0" w:firstLineChars="0"/>
                    <w:jc w:val="center"/>
                    <w:rPr>
                      <w:rFonts w:hint="eastAsia" w:cs="Times New Roman"/>
                      <w:color w:val="auto"/>
                      <w:lang w:val="en-US" w:eastAsia="zh-CN"/>
                    </w:rPr>
                  </w:pPr>
                  <w:r>
                    <w:rPr>
                      <w:rFonts w:hint="eastAsia" w:cs="Times New Roman"/>
                      <w:color w:val="auto"/>
                      <w:lang w:val="en-US" w:eastAsia="zh-CN"/>
                    </w:rPr>
                    <w:t>4</w:t>
                  </w:r>
                  <w:r>
                    <w:rPr>
                      <w:rFonts w:hint="default" w:cs="Times New Roman"/>
                      <w:color w:val="auto"/>
                      <w:lang w:val="en-US" w:eastAsia="zh-CN"/>
                    </w:rPr>
                    <w:t>×</w:t>
                  </w:r>
                  <w:r>
                    <w:rPr>
                      <w:rFonts w:hint="eastAsia" w:cs="Times New Roman"/>
                      <w:color w:val="auto"/>
                      <w:lang w:val="en-US" w:eastAsia="zh-CN"/>
                    </w:rPr>
                    <w:t>10</w:t>
                  </w:r>
                  <w:r>
                    <w:rPr>
                      <w:rFonts w:hint="eastAsia" w:cs="Times New Roman"/>
                      <w:color w:val="auto"/>
                      <w:vertAlign w:val="superscript"/>
                      <w:lang w:val="en-US" w:eastAsia="zh-CN"/>
                    </w:rPr>
                    <w:t>-4</w:t>
                  </w:r>
                  <w:r>
                    <w:rPr>
                      <w:rFonts w:hint="eastAsia" w:cs="Times New Roman"/>
                      <w:color w:val="auto"/>
                      <w:lang w:val="en-US" w:eastAsia="zh-CN"/>
                    </w:rPr>
                    <w:t>kg/h</w:t>
                  </w:r>
                </w:p>
              </w:tc>
              <w:tc>
                <w:tcPr>
                  <w:tcW w:w="1888" w:type="dxa"/>
                  <w:noWrap w:val="0"/>
                  <w:vAlign w:val="center"/>
                </w:tcPr>
                <w:p w14:paraId="5FE02DDE">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lang w:val="en-US" w:eastAsia="zh-CN"/>
                    </w:rPr>
                    <w:t>0.035</w:t>
                  </w:r>
                </w:p>
              </w:tc>
              <w:tc>
                <w:tcPr>
                  <w:tcW w:w="962" w:type="dxa"/>
                  <w:noWrap w:val="0"/>
                  <w:vAlign w:val="center"/>
                </w:tcPr>
                <w:p w14:paraId="2270BC8A">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w:t>
                  </w:r>
                </w:p>
              </w:tc>
              <w:tc>
                <w:tcPr>
                  <w:tcW w:w="1518" w:type="dxa"/>
                  <w:noWrap w:val="0"/>
                  <w:vAlign w:val="center"/>
                </w:tcPr>
                <w:p w14:paraId="6E8881EC">
                  <w:pPr>
                    <w:pStyle w:val="24"/>
                    <w:bidi w:val="0"/>
                    <w:ind w:firstLine="0" w:firstLineChars="0"/>
                    <w:jc w:val="center"/>
                    <w:rPr>
                      <w:rFonts w:hint="default"/>
                      <w:color w:val="auto"/>
                      <w:lang w:val="en-US" w:eastAsia="zh-CN"/>
                    </w:rPr>
                  </w:pPr>
                  <w:r>
                    <w:rPr>
                      <w:rFonts w:hint="eastAsia"/>
                      <w:color w:val="auto"/>
                      <w:lang w:val="en-US" w:eastAsia="zh-CN"/>
                    </w:rPr>
                    <w:t>0.035</w:t>
                  </w:r>
                </w:p>
              </w:tc>
            </w:tr>
            <w:tr w14:paraId="2C95F9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79" w:type="dxa"/>
                  <w:noWrap w:val="0"/>
                  <w:vAlign w:val="center"/>
                </w:tcPr>
                <w:p w14:paraId="29705308">
                  <w:pPr>
                    <w:pStyle w:val="24"/>
                    <w:bidi w:val="0"/>
                    <w:ind w:firstLine="0" w:firstLineChars="0"/>
                    <w:jc w:val="center"/>
                    <w:rPr>
                      <w:rFonts w:hint="default" w:cs="Times New Roman"/>
                      <w:color w:val="auto"/>
                      <w:lang w:val="en-US" w:eastAsia="zh-CN"/>
                    </w:rPr>
                  </w:pPr>
                  <w:r>
                    <w:rPr>
                      <w:rFonts w:hint="eastAsia" w:cs="Times New Roman"/>
                      <w:color w:val="auto"/>
                      <w:lang w:val="en-US" w:eastAsia="zh-CN"/>
                    </w:rPr>
                    <w:t>分装站</w:t>
                  </w:r>
                </w:p>
              </w:tc>
              <w:tc>
                <w:tcPr>
                  <w:tcW w:w="1680" w:type="dxa"/>
                  <w:noWrap w:val="0"/>
                  <w:vAlign w:val="center"/>
                </w:tcPr>
                <w:p w14:paraId="6808AC7E">
                  <w:pPr>
                    <w:pStyle w:val="24"/>
                    <w:bidi w:val="0"/>
                    <w:ind w:firstLine="0" w:firstLineChars="0"/>
                    <w:jc w:val="center"/>
                    <w:rPr>
                      <w:rFonts w:hint="default" w:cs="Times New Roman"/>
                      <w:color w:val="auto"/>
                      <w:lang w:val="en-US" w:eastAsia="zh-CN"/>
                    </w:rPr>
                  </w:pPr>
                  <w:r>
                    <w:rPr>
                      <w:rFonts w:hint="eastAsia" w:cs="Times New Roman"/>
                      <w:color w:val="auto"/>
                      <w:lang w:val="en-US" w:eastAsia="zh-CN"/>
                    </w:rPr>
                    <w:t>充装损失</w:t>
                  </w:r>
                </w:p>
              </w:tc>
              <w:tc>
                <w:tcPr>
                  <w:tcW w:w="1376" w:type="dxa"/>
                  <w:noWrap w:val="0"/>
                  <w:vAlign w:val="center"/>
                </w:tcPr>
                <w:p w14:paraId="54BAB5C0">
                  <w:pPr>
                    <w:pStyle w:val="24"/>
                    <w:bidi w:val="0"/>
                    <w:ind w:firstLine="0" w:firstLineChars="0"/>
                    <w:jc w:val="center"/>
                    <w:rPr>
                      <w:rFonts w:hint="default" w:cs="Times New Roman"/>
                      <w:color w:val="auto"/>
                      <w:lang w:val="en-US" w:eastAsia="zh-CN"/>
                    </w:rPr>
                  </w:pPr>
                  <w:r>
                    <w:rPr>
                      <w:rFonts w:hint="eastAsia" w:cs="Times New Roman"/>
                      <w:color w:val="auto"/>
                      <w:lang w:val="en-US" w:eastAsia="zh-CN"/>
                    </w:rPr>
                    <w:t>1ml/次</w:t>
                  </w:r>
                </w:p>
              </w:tc>
              <w:tc>
                <w:tcPr>
                  <w:tcW w:w="1888" w:type="dxa"/>
                  <w:noWrap w:val="0"/>
                  <w:vAlign w:val="center"/>
                </w:tcPr>
                <w:p w14:paraId="44BB3A2D">
                  <w:pPr>
                    <w:pStyle w:val="24"/>
                    <w:bidi w:val="0"/>
                    <w:jc w:val="center"/>
                    <w:rPr>
                      <w:rFonts w:hint="default"/>
                      <w:color w:val="auto"/>
                      <w:lang w:val="en-US" w:eastAsia="zh-CN"/>
                    </w:rPr>
                  </w:pPr>
                  <w:r>
                    <w:rPr>
                      <w:rFonts w:hint="eastAsia"/>
                      <w:color w:val="auto"/>
                      <w:lang w:val="en-US" w:eastAsia="zh-CN"/>
                    </w:rPr>
                    <w:t>0.05</w:t>
                  </w:r>
                </w:p>
              </w:tc>
              <w:tc>
                <w:tcPr>
                  <w:tcW w:w="962" w:type="dxa"/>
                  <w:noWrap w:val="0"/>
                  <w:vAlign w:val="center"/>
                </w:tcPr>
                <w:p w14:paraId="4F8DE1EB">
                  <w:pPr>
                    <w:pStyle w:val="24"/>
                    <w:bidi w:val="0"/>
                    <w:jc w:val="center"/>
                    <w:rPr>
                      <w:rFonts w:hint="default"/>
                      <w:color w:val="auto"/>
                      <w:lang w:val="en-US" w:eastAsia="zh-CN"/>
                    </w:rPr>
                  </w:pPr>
                  <w:r>
                    <w:rPr>
                      <w:rFonts w:hint="eastAsia"/>
                      <w:color w:val="auto"/>
                      <w:lang w:val="en-US" w:eastAsia="zh-CN"/>
                    </w:rPr>
                    <w:t>/</w:t>
                  </w:r>
                </w:p>
              </w:tc>
              <w:tc>
                <w:tcPr>
                  <w:tcW w:w="1518" w:type="dxa"/>
                  <w:noWrap w:val="0"/>
                  <w:vAlign w:val="center"/>
                </w:tcPr>
                <w:p w14:paraId="32909F86">
                  <w:pPr>
                    <w:pStyle w:val="24"/>
                    <w:bidi w:val="0"/>
                    <w:jc w:val="center"/>
                    <w:rPr>
                      <w:rFonts w:hint="default"/>
                      <w:color w:val="auto"/>
                      <w:lang w:val="en-US" w:eastAsia="zh-CN"/>
                    </w:rPr>
                  </w:pPr>
                  <w:r>
                    <w:rPr>
                      <w:rFonts w:hint="eastAsia"/>
                      <w:color w:val="auto"/>
                      <w:lang w:val="en-US" w:eastAsia="zh-CN"/>
                    </w:rPr>
                    <w:t>0.050</w:t>
                  </w:r>
                </w:p>
              </w:tc>
            </w:tr>
            <w:tr w14:paraId="424DE3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23" w:type="dxa"/>
                  <w:gridSpan w:val="4"/>
                  <w:noWrap w:val="0"/>
                  <w:vAlign w:val="center"/>
                </w:tcPr>
                <w:p w14:paraId="14B3CC8E">
                  <w:pPr>
                    <w:pStyle w:val="24"/>
                    <w:bidi w:val="0"/>
                    <w:jc w:val="center"/>
                    <w:rPr>
                      <w:rFonts w:hint="default"/>
                      <w:color w:val="auto"/>
                      <w:lang w:val="en-US" w:eastAsia="zh-CN"/>
                    </w:rPr>
                  </w:pPr>
                  <w:r>
                    <w:rPr>
                      <w:rFonts w:hint="eastAsia"/>
                      <w:color w:val="auto"/>
                      <w:lang w:val="en-US" w:eastAsia="zh-CN"/>
                    </w:rPr>
                    <w:t>合计</w:t>
                  </w:r>
                </w:p>
              </w:tc>
              <w:tc>
                <w:tcPr>
                  <w:tcW w:w="962" w:type="dxa"/>
                  <w:noWrap w:val="0"/>
                  <w:vAlign w:val="center"/>
                </w:tcPr>
                <w:p w14:paraId="18329AAD">
                  <w:pPr>
                    <w:pStyle w:val="24"/>
                    <w:bidi w:val="0"/>
                    <w:jc w:val="center"/>
                    <w:rPr>
                      <w:rFonts w:hint="default"/>
                      <w:color w:val="auto"/>
                      <w:lang w:val="en-US" w:eastAsia="zh-CN"/>
                    </w:rPr>
                  </w:pPr>
                </w:p>
              </w:tc>
              <w:tc>
                <w:tcPr>
                  <w:tcW w:w="1518" w:type="dxa"/>
                  <w:noWrap w:val="0"/>
                  <w:vAlign w:val="center"/>
                </w:tcPr>
                <w:p w14:paraId="78E3980A">
                  <w:pPr>
                    <w:pStyle w:val="24"/>
                    <w:bidi w:val="0"/>
                    <w:jc w:val="center"/>
                    <w:rPr>
                      <w:rFonts w:hint="default"/>
                      <w:color w:val="auto"/>
                      <w:lang w:val="en-US" w:eastAsia="zh-CN"/>
                    </w:rPr>
                  </w:pPr>
                  <w:r>
                    <w:rPr>
                      <w:rFonts w:hint="eastAsia"/>
                      <w:color w:val="auto"/>
                      <w:lang w:val="en-US" w:eastAsia="zh-CN"/>
                    </w:rPr>
                    <w:t>0.085</w:t>
                  </w:r>
                </w:p>
              </w:tc>
            </w:tr>
          </w:tbl>
          <w:p w14:paraId="5BE51FD1">
            <w:pPr>
              <w:pStyle w:val="23"/>
              <w:bidi w:val="0"/>
              <w:rPr>
                <w:rFonts w:hint="default"/>
                <w:color w:val="auto"/>
                <w:lang w:val="en-US" w:eastAsia="zh-CN"/>
              </w:rPr>
            </w:pPr>
            <w:r>
              <w:rPr>
                <w:rFonts w:hint="default"/>
                <w:color w:val="auto"/>
                <w:lang w:val="en-US" w:eastAsia="zh-CN"/>
              </w:rPr>
              <w:t>根据《环境影响评价技术导则—大气环境》(HJ2.2-2018)，采用估算模式AERSCREEN计算项目污染物最大落地浓度及浓度占标率等。根据工程分析，本项目排放的废气污染物主要为非甲烷总烃。本环评将整个</w:t>
            </w:r>
            <w:r>
              <w:rPr>
                <w:rFonts w:hint="eastAsia"/>
                <w:color w:val="auto"/>
                <w:lang w:val="en-US" w:eastAsia="zh-CN"/>
              </w:rPr>
              <w:t>灌装站</w:t>
            </w:r>
            <w:r>
              <w:rPr>
                <w:rFonts w:hint="default"/>
                <w:color w:val="auto"/>
                <w:lang w:val="en-US" w:eastAsia="zh-CN"/>
              </w:rPr>
              <w:t>作为一个无组织面源，面源排放高度按4.5m计。本项目废气源强及排放参数见表7-1。</w:t>
            </w:r>
          </w:p>
          <w:p w14:paraId="3F19B270">
            <w:pPr>
              <w:pStyle w:val="25"/>
              <w:bidi w:val="0"/>
              <w:rPr>
                <w:rFonts w:hint="eastAsia"/>
                <w:color w:val="auto"/>
                <w:lang w:val="en-US" w:eastAsia="zh-CN"/>
              </w:rPr>
            </w:pPr>
            <w:r>
              <w:rPr>
                <w:rFonts w:hint="eastAsia"/>
                <w:color w:val="auto"/>
                <w:lang w:val="en-US" w:eastAsia="zh-CN"/>
              </w:rPr>
              <w:t>表4-4                      面源排放参数一览表</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8"/>
              <w:gridCol w:w="871"/>
              <w:gridCol w:w="834"/>
              <w:gridCol w:w="1090"/>
              <w:gridCol w:w="656"/>
              <w:gridCol w:w="1199"/>
              <w:gridCol w:w="907"/>
              <w:gridCol w:w="926"/>
              <w:gridCol w:w="1219"/>
            </w:tblGrid>
            <w:tr w14:paraId="1D9E7B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dxa"/>
                  <w:vMerge w:val="restart"/>
                  <w:noWrap w:val="0"/>
                  <w:vAlign w:val="center"/>
                </w:tcPr>
                <w:p w14:paraId="295C5F22">
                  <w:pPr>
                    <w:pStyle w:val="24"/>
                    <w:bidi w:val="0"/>
                    <w:jc w:val="center"/>
                    <w:rPr>
                      <w:rFonts w:hint="default"/>
                      <w:b/>
                      <w:bCs/>
                      <w:color w:val="auto"/>
                      <w:lang w:val="en-US" w:eastAsia="zh-CN"/>
                    </w:rPr>
                  </w:pPr>
                  <w:r>
                    <w:rPr>
                      <w:rFonts w:hint="eastAsia"/>
                      <w:b/>
                      <w:bCs/>
                      <w:color w:val="auto"/>
                      <w:lang w:val="en-US" w:eastAsia="zh-CN"/>
                    </w:rPr>
                    <w:t>污染源</w:t>
                  </w:r>
                </w:p>
              </w:tc>
              <w:tc>
                <w:tcPr>
                  <w:tcW w:w="1708" w:type="dxa"/>
                  <w:gridSpan w:val="2"/>
                  <w:noWrap w:val="0"/>
                  <w:vAlign w:val="center"/>
                </w:tcPr>
                <w:p w14:paraId="5DCED4D2">
                  <w:pPr>
                    <w:pStyle w:val="24"/>
                    <w:bidi w:val="0"/>
                    <w:jc w:val="center"/>
                    <w:rPr>
                      <w:rFonts w:hint="default"/>
                      <w:b/>
                      <w:bCs/>
                      <w:color w:val="auto"/>
                      <w:lang w:val="en-US" w:eastAsia="zh-CN"/>
                    </w:rPr>
                  </w:pPr>
                  <w:r>
                    <w:rPr>
                      <w:rFonts w:hint="eastAsia"/>
                      <w:b/>
                      <w:bCs/>
                      <w:color w:val="auto"/>
                      <w:lang w:val="en-US" w:eastAsia="zh-CN"/>
                    </w:rPr>
                    <w:t>面源</w:t>
                  </w:r>
                </w:p>
              </w:tc>
              <w:tc>
                <w:tcPr>
                  <w:tcW w:w="1104" w:type="dxa"/>
                  <w:vMerge w:val="restart"/>
                  <w:noWrap w:val="0"/>
                  <w:vAlign w:val="center"/>
                </w:tcPr>
                <w:p w14:paraId="382818C5">
                  <w:pPr>
                    <w:pStyle w:val="24"/>
                    <w:bidi w:val="0"/>
                    <w:jc w:val="center"/>
                    <w:rPr>
                      <w:rFonts w:hint="default"/>
                      <w:b/>
                      <w:bCs/>
                      <w:color w:val="auto"/>
                      <w:lang w:val="en-US" w:eastAsia="zh-CN"/>
                    </w:rPr>
                  </w:pPr>
                  <w:r>
                    <w:rPr>
                      <w:rFonts w:hint="eastAsia"/>
                      <w:b/>
                      <w:bCs/>
                      <w:color w:val="auto"/>
                      <w:lang w:val="en-US" w:eastAsia="zh-CN"/>
                    </w:rPr>
                    <w:t>年排放小时数（h）</w:t>
                  </w:r>
                </w:p>
              </w:tc>
              <w:tc>
                <w:tcPr>
                  <w:tcW w:w="665" w:type="dxa"/>
                  <w:vMerge w:val="restart"/>
                  <w:noWrap w:val="0"/>
                  <w:vAlign w:val="center"/>
                </w:tcPr>
                <w:p w14:paraId="3F6C9D44">
                  <w:pPr>
                    <w:pStyle w:val="24"/>
                    <w:bidi w:val="0"/>
                    <w:jc w:val="center"/>
                    <w:rPr>
                      <w:rFonts w:hint="default"/>
                      <w:b/>
                      <w:bCs/>
                      <w:color w:val="auto"/>
                      <w:lang w:val="en-US" w:eastAsia="zh-CN"/>
                    </w:rPr>
                  </w:pPr>
                  <w:r>
                    <w:rPr>
                      <w:rFonts w:hint="eastAsia"/>
                      <w:b/>
                      <w:bCs/>
                      <w:color w:val="auto"/>
                      <w:lang w:val="en-US" w:eastAsia="zh-CN"/>
                    </w:rPr>
                    <w:t>排放工况</w:t>
                  </w:r>
                </w:p>
              </w:tc>
              <w:tc>
                <w:tcPr>
                  <w:tcW w:w="1215" w:type="dxa"/>
                  <w:vMerge w:val="restart"/>
                  <w:noWrap w:val="0"/>
                  <w:vAlign w:val="center"/>
                </w:tcPr>
                <w:p w14:paraId="2072A143">
                  <w:pPr>
                    <w:pStyle w:val="24"/>
                    <w:bidi w:val="0"/>
                    <w:jc w:val="center"/>
                    <w:rPr>
                      <w:rFonts w:hint="default"/>
                      <w:b/>
                      <w:bCs/>
                      <w:color w:val="auto"/>
                      <w:lang w:val="en-US" w:eastAsia="zh-CN"/>
                    </w:rPr>
                  </w:pPr>
                  <w:r>
                    <w:rPr>
                      <w:rFonts w:hint="eastAsia"/>
                      <w:b/>
                      <w:bCs/>
                      <w:color w:val="auto"/>
                      <w:lang w:val="en-US" w:eastAsia="zh-CN"/>
                    </w:rPr>
                    <w:t>面源高度（m）</w:t>
                  </w:r>
                </w:p>
              </w:tc>
              <w:tc>
                <w:tcPr>
                  <w:tcW w:w="927" w:type="dxa"/>
                  <w:vMerge w:val="restart"/>
                  <w:noWrap w:val="0"/>
                  <w:vAlign w:val="center"/>
                </w:tcPr>
                <w:p w14:paraId="3BD968EF">
                  <w:pPr>
                    <w:pStyle w:val="24"/>
                    <w:bidi w:val="0"/>
                    <w:jc w:val="center"/>
                    <w:rPr>
                      <w:rFonts w:hint="default"/>
                      <w:b/>
                      <w:bCs/>
                      <w:color w:val="auto"/>
                      <w:lang w:val="en-US" w:eastAsia="zh-CN"/>
                    </w:rPr>
                  </w:pPr>
                  <w:r>
                    <w:rPr>
                      <w:rFonts w:hint="eastAsia"/>
                      <w:b/>
                      <w:bCs/>
                      <w:color w:val="auto"/>
                      <w:lang w:val="en-US" w:eastAsia="zh-CN"/>
                    </w:rPr>
                    <w:t>污染物因子</w:t>
                  </w:r>
                </w:p>
              </w:tc>
              <w:tc>
                <w:tcPr>
                  <w:tcW w:w="927" w:type="dxa"/>
                  <w:vMerge w:val="restart"/>
                  <w:noWrap w:val="0"/>
                  <w:vAlign w:val="center"/>
                </w:tcPr>
                <w:p w14:paraId="0C31171E">
                  <w:pPr>
                    <w:pStyle w:val="24"/>
                    <w:bidi w:val="0"/>
                    <w:jc w:val="center"/>
                    <w:rPr>
                      <w:rFonts w:hint="default"/>
                      <w:b/>
                      <w:bCs/>
                      <w:color w:val="auto"/>
                      <w:lang w:val="en-US" w:eastAsia="zh-CN"/>
                    </w:rPr>
                  </w:pPr>
                  <w:r>
                    <w:rPr>
                      <w:rFonts w:hint="eastAsia"/>
                      <w:b/>
                      <w:bCs/>
                      <w:color w:val="auto"/>
                      <w:lang w:val="en-US" w:eastAsia="zh-CN"/>
                    </w:rPr>
                    <w:t>源强</w:t>
                  </w:r>
                </w:p>
              </w:tc>
              <w:tc>
                <w:tcPr>
                  <w:tcW w:w="1195" w:type="dxa"/>
                  <w:vMerge w:val="restart"/>
                  <w:noWrap w:val="0"/>
                  <w:vAlign w:val="center"/>
                </w:tcPr>
                <w:p w14:paraId="435970E2">
                  <w:pPr>
                    <w:pStyle w:val="24"/>
                    <w:bidi w:val="0"/>
                    <w:jc w:val="center"/>
                    <w:rPr>
                      <w:rFonts w:hint="default"/>
                      <w:b/>
                      <w:bCs/>
                      <w:color w:val="auto"/>
                      <w:lang w:val="en-US" w:eastAsia="zh-CN"/>
                    </w:rPr>
                  </w:pPr>
                  <w:r>
                    <w:rPr>
                      <w:rFonts w:hint="eastAsia"/>
                      <w:b/>
                      <w:bCs/>
                      <w:color w:val="auto"/>
                      <w:lang w:val="en-US" w:eastAsia="zh-CN"/>
                    </w:rPr>
                    <w:t>评价标准（mg/m</w:t>
                  </w:r>
                  <w:r>
                    <w:rPr>
                      <w:rFonts w:hint="eastAsia"/>
                      <w:b/>
                      <w:bCs/>
                      <w:color w:val="auto"/>
                      <w:vertAlign w:val="superscript"/>
                      <w:lang w:val="en-US" w:eastAsia="zh-CN"/>
                    </w:rPr>
                    <w:t>3</w:t>
                  </w:r>
                  <w:r>
                    <w:rPr>
                      <w:rFonts w:hint="eastAsia"/>
                      <w:b/>
                      <w:bCs/>
                      <w:color w:val="auto"/>
                      <w:lang w:val="en-US" w:eastAsia="zh-CN"/>
                    </w:rPr>
                    <w:t>）</w:t>
                  </w:r>
                </w:p>
              </w:tc>
            </w:tr>
            <w:tr w14:paraId="42AF13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dxa"/>
                  <w:vMerge w:val="continue"/>
                  <w:noWrap w:val="0"/>
                  <w:vAlign w:val="center"/>
                </w:tcPr>
                <w:p w14:paraId="2B31BDCF">
                  <w:pPr>
                    <w:pStyle w:val="24"/>
                    <w:bidi w:val="0"/>
                    <w:jc w:val="center"/>
                    <w:rPr>
                      <w:rFonts w:hint="default"/>
                      <w:b/>
                      <w:bCs/>
                      <w:color w:val="auto"/>
                      <w:lang w:val="en-US" w:eastAsia="zh-CN"/>
                    </w:rPr>
                  </w:pPr>
                </w:p>
              </w:tc>
              <w:tc>
                <w:tcPr>
                  <w:tcW w:w="873" w:type="dxa"/>
                  <w:noWrap w:val="0"/>
                  <w:vAlign w:val="center"/>
                </w:tcPr>
                <w:p w14:paraId="718C075E">
                  <w:pPr>
                    <w:pStyle w:val="24"/>
                    <w:bidi w:val="0"/>
                    <w:jc w:val="center"/>
                    <w:rPr>
                      <w:rFonts w:hint="default"/>
                      <w:b/>
                      <w:bCs/>
                      <w:color w:val="auto"/>
                      <w:lang w:val="en-US" w:eastAsia="zh-CN"/>
                    </w:rPr>
                  </w:pPr>
                  <w:r>
                    <w:rPr>
                      <w:rFonts w:hint="eastAsia"/>
                      <w:b/>
                      <w:bCs/>
                      <w:color w:val="auto"/>
                      <w:lang w:val="en-US" w:eastAsia="zh-CN"/>
                    </w:rPr>
                    <w:t>长度（m）</w:t>
                  </w:r>
                </w:p>
              </w:tc>
              <w:tc>
                <w:tcPr>
                  <w:tcW w:w="835" w:type="dxa"/>
                  <w:noWrap w:val="0"/>
                  <w:vAlign w:val="center"/>
                </w:tcPr>
                <w:p w14:paraId="3D019374">
                  <w:pPr>
                    <w:pStyle w:val="24"/>
                    <w:bidi w:val="0"/>
                    <w:jc w:val="center"/>
                    <w:rPr>
                      <w:rFonts w:hint="default"/>
                      <w:b/>
                      <w:bCs/>
                      <w:color w:val="auto"/>
                      <w:lang w:val="en-US" w:eastAsia="zh-CN"/>
                    </w:rPr>
                  </w:pPr>
                  <w:r>
                    <w:rPr>
                      <w:rFonts w:hint="eastAsia"/>
                      <w:b/>
                      <w:bCs/>
                      <w:color w:val="auto"/>
                      <w:lang w:val="en-US" w:eastAsia="zh-CN"/>
                    </w:rPr>
                    <w:t>宽度（m）</w:t>
                  </w:r>
                </w:p>
              </w:tc>
              <w:tc>
                <w:tcPr>
                  <w:tcW w:w="1104" w:type="dxa"/>
                  <w:vMerge w:val="continue"/>
                  <w:noWrap w:val="0"/>
                  <w:vAlign w:val="center"/>
                </w:tcPr>
                <w:p w14:paraId="0716665C">
                  <w:pPr>
                    <w:pStyle w:val="24"/>
                    <w:bidi w:val="0"/>
                    <w:jc w:val="center"/>
                    <w:rPr>
                      <w:rFonts w:hint="default"/>
                      <w:b/>
                      <w:bCs/>
                      <w:color w:val="auto"/>
                      <w:lang w:val="en-US" w:eastAsia="zh-CN"/>
                    </w:rPr>
                  </w:pPr>
                </w:p>
              </w:tc>
              <w:tc>
                <w:tcPr>
                  <w:tcW w:w="665" w:type="dxa"/>
                  <w:vMerge w:val="continue"/>
                  <w:noWrap w:val="0"/>
                  <w:vAlign w:val="center"/>
                </w:tcPr>
                <w:p w14:paraId="1B3C0B1A">
                  <w:pPr>
                    <w:pStyle w:val="24"/>
                    <w:bidi w:val="0"/>
                    <w:jc w:val="center"/>
                    <w:rPr>
                      <w:rFonts w:hint="default"/>
                      <w:b/>
                      <w:bCs/>
                      <w:color w:val="auto"/>
                      <w:lang w:val="en-US" w:eastAsia="zh-CN"/>
                    </w:rPr>
                  </w:pPr>
                </w:p>
              </w:tc>
              <w:tc>
                <w:tcPr>
                  <w:tcW w:w="1215" w:type="dxa"/>
                  <w:vMerge w:val="continue"/>
                  <w:noWrap w:val="0"/>
                  <w:vAlign w:val="center"/>
                </w:tcPr>
                <w:p w14:paraId="06F8AB47">
                  <w:pPr>
                    <w:pStyle w:val="24"/>
                    <w:bidi w:val="0"/>
                    <w:jc w:val="center"/>
                    <w:rPr>
                      <w:rFonts w:hint="default"/>
                      <w:b/>
                      <w:bCs/>
                      <w:color w:val="auto"/>
                      <w:lang w:val="en-US" w:eastAsia="zh-CN"/>
                    </w:rPr>
                  </w:pPr>
                </w:p>
              </w:tc>
              <w:tc>
                <w:tcPr>
                  <w:tcW w:w="927" w:type="dxa"/>
                  <w:vMerge w:val="continue"/>
                  <w:noWrap w:val="0"/>
                  <w:vAlign w:val="center"/>
                </w:tcPr>
                <w:p w14:paraId="38B21CDF">
                  <w:pPr>
                    <w:pStyle w:val="24"/>
                    <w:bidi w:val="0"/>
                    <w:jc w:val="center"/>
                    <w:rPr>
                      <w:rFonts w:hint="default"/>
                      <w:b/>
                      <w:bCs/>
                      <w:color w:val="auto"/>
                      <w:lang w:val="en-US" w:eastAsia="zh-CN"/>
                    </w:rPr>
                  </w:pPr>
                </w:p>
              </w:tc>
              <w:tc>
                <w:tcPr>
                  <w:tcW w:w="927" w:type="dxa"/>
                  <w:vMerge w:val="continue"/>
                  <w:noWrap w:val="0"/>
                  <w:vAlign w:val="center"/>
                </w:tcPr>
                <w:p w14:paraId="3772D90B">
                  <w:pPr>
                    <w:pStyle w:val="24"/>
                    <w:bidi w:val="0"/>
                    <w:jc w:val="center"/>
                    <w:rPr>
                      <w:rFonts w:hint="default"/>
                      <w:b/>
                      <w:bCs/>
                      <w:color w:val="auto"/>
                      <w:lang w:val="en-US" w:eastAsia="zh-CN"/>
                    </w:rPr>
                  </w:pPr>
                </w:p>
              </w:tc>
              <w:tc>
                <w:tcPr>
                  <w:tcW w:w="1195" w:type="dxa"/>
                  <w:vMerge w:val="continue"/>
                  <w:noWrap w:val="0"/>
                  <w:vAlign w:val="center"/>
                </w:tcPr>
                <w:p w14:paraId="5D8ECC50">
                  <w:pPr>
                    <w:pStyle w:val="24"/>
                    <w:bidi w:val="0"/>
                    <w:jc w:val="center"/>
                    <w:rPr>
                      <w:rFonts w:hint="default"/>
                      <w:b/>
                      <w:bCs/>
                      <w:color w:val="auto"/>
                      <w:lang w:val="en-US" w:eastAsia="zh-CN"/>
                    </w:rPr>
                  </w:pPr>
                </w:p>
              </w:tc>
            </w:tr>
            <w:tr w14:paraId="490330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8" w:type="dxa"/>
                  <w:noWrap w:val="0"/>
                  <w:vAlign w:val="center"/>
                </w:tcPr>
                <w:p w14:paraId="1CCC5F79">
                  <w:pPr>
                    <w:pStyle w:val="24"/>
                    <w:bidi w:val="0"/>
                    <w:jc w:val="center"/>
                    <w:rPr>
                      <w:rFonts w:hint="default"/>
                      <w:color w:val="auto"/>
                      <w:lang w:val="en-US" w:eastAsia="zh-CN"/>
                    </w:rPr>
                  </w:pPr>
                  <w:r>
                    <w:rPr>
                      <w:rFonts w:hint="eastAsia"/>
                      <w:color w:val="auto"/>
                      <w:lang w:val="en-US" w:eastAsia="zh-CN"/>
                    </w:rPr>
                    <w:t>灌装站</w:t>
                  </w:r>
                </w:p>
              </w:tc>
              <w:tc>
                <w:tcPr>
                  <w:tcW w:w="873" w:type="dxa"/>
                  <w:noWrap w:val="0"/>
                  <w:vAlign w:val="center"/>
                </w:tcPr>
                <w:p w14:paraId="4D93B670">
                  <w:pPr>
                    <w:pStyle w:val="24"/>
                    <w:bidi w:val="0"/>
                    <w:jc w:val="center"/>
                    <w:rPr>
                      <w:rFonts w:hint="default"/>
                      <w:color w:val="auto"/>
                      <w:lang w:val="en-US" w:eastAsia="zh-CN"/>
                    </w:rPr>
                  </w:pPr>
                  <w:r>
                    <w:rPr>
                      <w:rFonts w:hint="eastAsia"/>
                      <w:color w:val="auto"/>
                      <w:lang w:val="en-US" w:eastAsia="zh-CN"/>
                    </w:rPr>
                    <w:t>30</w:t>
                  </w:r>
                </w:p>
              </w:tc>
              <w:tc>
                <w:tcPr>
                  <w:tcW w:w="835" w:type="dxa"/>
                  <w:noWrap w:val="0"/>
                  <w:vAlign w:val="center"/>
                </w:tcPr>
                <w:p w14:paraId="65D42F40">
                  <w:pPr>
                    <w:pStyle w:val="24"/>
                    <w:bidi w:val="0"/>
                    <w:jc w:val="center"/>
                    <w:rPr>
                      <w:rFonts w:hint="default"/>
                      <w:color w:val="auto"/>
                      <w:lang w:val="en-US" w:eastAsia="zh-CN"/>
                    </w:rPr>
                  </w:pPr>
                  <w:r>
                    <w:rPr>
                      <w:rFonts w:hint="eastAsia"/>
                      <w:color w:val="auto"/>
                      <w:lang w:val="en-US" w:eastAsia="zh-CN"/>
                    </w:rPr>
                    <w:t>28</w:t>
                  </w:r>
                </w:p>
              </w:tc>
              <w:tc>
                <w:tcPr>
                  <w:tcW w:w="1104" w:type="dxa"/>
                  <w:noWrap w:val="0"/>
                  <w:vAlign w:val="center"/>
                </w:tcPr>
                <w:p w14:paraId="66729235">
                  <w:pPr>
                    <w:pStyle w:val="24"/>
                    <w:bidi w:val="0"/>
                    <w:jc w:val="center"/>
                    <w:rPr>
                      <w:rFonts w:hint="default"/>
                      <w:color w:val="auto"/>
                      <w:lang w:val="en-US" w:eastAsia="zh-CN"/>
                    </w:rPr>
                  </w:pPr>
                  <w:r>
                    <w:rPr>
                      <w:rFonts w:hint="eastAsia"/>
                      <w:color w:val="auto"/>
                      <w:lang w:val="en-US" w:eastAsia="zh-CN"/>
                    </w:rPr>
                    <w:t>2400</w:t>
                  </w:r>
                </w:p>
              </w:tc>
              <w:tc>
                <w:tcPr>
                  <w:tcW w:w="665" w:type="dxa"/>
                  <w:noWrap w:val="0"/>
                  <w:vAlign w:val="center"/>
                </w:tcPr>
                <w:p w14:paraId="151F2825">
                  <w:pPr>
                    <w:pStyle w:val="24"/>
                    <w:bidi w:val="0"/>
                    <w:jc w:val="center"/>
                    <w:rPr>
                      <w:rFonts w:hint="default"/>
                      <w:color w:val="auto"/>
                      <w:lang w:val="en-US" w:eastAsia="zh-CN"/>
                    </w:rPr>
                  </w:pPr>
                  <w:r>
                    <w:rPr>
                      <w:rFonts w:hint="eastAsia"/>
                      <w:color w:val="auto"/>
                      <w:lang w:val="en-US" w:eastAsia="zh-CN"/>
                    </w:rPr>
                    <w:t>正常</w:t>
                  </w:r>
                </w:p>
              </w:tc>
              <w:tc>
                <w:tcPr>
                  <w:tcW w:w="1215" w:type="dxa"/>
                  <w:noWrap w:val="0"/>
                  <w:vAlign w:val="center"/>
                </w:tcPr>
                <w:p w14:paraId="4401C696">
                  <w:pPr>
                    <w:pStyle w:val="24"/>
                    <w:bidi w:val="0"/>
                    <w:jc w:val="center"/>
                    <w:rPr>
                      <w:rFonts w:hint="default"/>
                      <w:color w:val="auto"/>
                      <w:lang w:val="en-US" w:eastAsia="zh-CN"/>
                    </w:rPr>
                  </w:pPr>
                  <w:r>
                    <w:rPr>
                      <w:rFonts w:hint="eastAsia"/>
                      <w:color w:val="auto"/>
                      <w:lang w:val="en-US" w:eastAsia="zh-CN"/>
                    </w:rPr>
                    <w:t>4.5</w:t>
                  </w:r>
                </w:p>
              </w:tc>
              <w:tc>
                <w:tcPr>
                  <w:tcW w:w="927" w:type="dxa"/>
                  <w:noWrap w:val="0"/>
                  <w:vAlign w:val="center"/>
                </w:tcPr>
                <w:p w14:paraId="781C2B02">
                  <w:pPr>
                    <w:pStyle w:val="24"/>
                    <w:bidi w:val="0"/>
                    <w:jc w:val="center"/>
                    <w:rPr>
                      <w:rFonts w:hint="default"/>
                      <w:color w:val="auto"/>
                      <w:lang w:val="en-US" w:eastAsia="zh-CN"/>
                    </w:rPr>
                  </w:pPr>
                  <w:r>
                    <w:rPr>
                      <w:rFonts w:hint="eastAsia"/>
                      <w:color w:val="auto"/>
                      <w:lang w:val="en-US" w:eastAsia="zh-CN"/>
                    </w:rPr>
                    <w:t>非甲烷总烃</w:t>
                  </w:r>
                </w:p>
              </w:tc>
              <w:tc>
                <w:tcPr>
                  <w:tcW w:w="927" w:type="dxa"/>
                  <w:noWrap w:val="0"/>
                  <w:vAlign w:val="center"/>
                </w:tcPr>
                <w:p w14:paraId="66E242A5">
                  <w:pPr>
                    <w:pStyle w:val="24"/>
                    <w:bidi w:val="0"/>
                    <w:jc w:val="center"/>
                    <w:rPr>
                      <w:rFonts w:hint="default"/>
                      <w:color w:val="auto"/>
                      <w:lang w:val="en-US" w:eastAsia="zh-CN"/>
                    </w:rPr>
                  </w:pPr>
                  <w:r>
                    <w:rPr>
                      <w:rFonts w:hint="eastAsia"/>
                      <w:color w:val="auto"/>
                      <w:lang w:val="en-US" w:eastAsia="zh-CN"/>
                    </w:rPr>
                    <w:t>0.085t/a</w:t>
                  </w:r>
                </w:p>
              </w:tc>
              <w:tc>
                <w:tcPr>
                  <w:tcW w:w="1195" w:type="dxa"/>
                  <w:noWrap w:val="0"/>
                  <w:vAlign w:val="center"/>
                </w:tcPr>
                <w:p w14:paraId="644C152E">
                  <w:pPr>
                    <w:pStyle w:val="24"/>
                    <w:bidi w:val="0"/>
                    <w:jc w:val="center"/>
                    <w:rPr>
                      <w:rFonts w:hint="default"/>
                      <w:color w:val="auto"/>
                      <w:lang w:val="en-US" w:eastAsia="zh-CN"/>
                    </w:rPr>
                  </w:pPr>
                  <w:r>
                    <w:rPr>
                      <w:rFonts w:hint="eastAsia"/>
                      <w:color w:val="auto"/>
                      <w:lang w:val="en-US" w:eastAsia="zh-CN"/>
                    </w:rPr>
                    <w:t>4.0</w:t>
                  </w:r>
                </w:p>
              </w:tc>
            </w:tr>
          </w:tbl>
          <w:p w14:paraId="50745C47">
            <w:pPr>
              <w:pStyle w:val="25"/>
              <w:bidi w:val="0"/>
              <w:rPr>
                <w:rFonts w:hint="eastAsia"/>
                <w:color w:val="auto"/>
                <w:lang w:val="en-US" w:eastAsia="zh-CN"/>
              </w:rPr>
            </w:pPr>
            <w:r>
              <w:rPr>
                <w:rFonts w:hint="eastAsia"/>
                <w:color w:val="auto"/>
                <w:lang w:val="en-US" w:eastAsia="zh-CN"/>
              </w:rPr>
              <w:t>表4-5               大气环境影响评价估算模型参数</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2206"/>
              <w:gridCol w:w="4833"/>
            </w:tblGrid>
            <w:tr w14:paraId="1398B7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5" w:type="dxa"/>
                  <w:gridSpan w:val="2"/>
                  <w:noWrap w:val="0"/>
                  <w:vAlign w:val="center"/>
                </w:tcPr>
                <w:p w14:paraId="283C0BFF">
                  <w:pPr>
                    <w:pStyle w:val="24"/>
                    <w:bidi w:val="0"/>
                    <w:jc w:val="center"/>
                    <w:rPr>
                      <w:rFonts w:hint="default"/>
                      <w:b/>
                      <w:bCs/>
                      <w:color w:val="auto"/>
                      <w:lang w:val="en-US" w:eastAsia="zh-CN"/>
                    </w:rPr>
                  </w:pPr>
                  <w:r>
                    <w:rPr>
                      <w:rFonts w:hint="eastAsia"/>
                      <w:b/>
                      <w:bCs/>
                      <w:color w:val="auto"/>
                      <w:lang w:val="en-US" w:eastAsia="zh-CN"/>
                    </w:rPr>
                    <w:t>参数</w:t>
                  </w:r>
                </w:p>
              </w:tc>
              <w:tc>
                <w:tcPr>
                  <w:tcW w:w="4874" w:type="dxa"/>
                  <w:noWrap w:val="0"/>
                  <w:vAlign w:val="center"/>
                </w:tcPr>
                <w:p w14:paraId="2685581D">
                  <w:pPr>
                    <w:pStyle w:val="24"/>
                    <w:bidi w:val="0"/>
                    <w:jc w:val="center"/>
                    <w:rPr>
                      <w:rFonts w:hint="default"/>
                      <w:b/>
                      <w:bCs/>
                      <w:color w:val="auto"/>
                      <w:lang w:val="en-US" w:eastAsia="zh-CN"/>
                    </w:rPr>
                  </w:pPr>
                  <w:r>
                    <w:rPr>
                      <w:rFonts w:hint="eastAsia"/>
                      <w:b/>
                      <w:bCs/>
                      <w:color w:val="auto"/>
                      <w:lang w:val="en-US" w:eastAsia="zh-CN"/>
                    </w:rPr>
                    <w:t>取值</w:t>
                  </w:r>
                </w:p>
              </w:tc>
            </w:tr>
            <w:tr w14:paraId="4E858B5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restart"/>
                  <w:noWrap w:val="0"/>
                  <w:vAlign w:val="center"/>
                </w:tcPr>
                <w:p w14:paraId="398041B5">
                  <w:pPr>
                    <w:pStyle w:val="24"/>
                    <w:bidi w:val="0"/>
                    <w:jc w:val="center"/>
                    <w:rPr>
                      <w:rFonts w:hint="default"/>
                      <w:color w:val="auto"/>
                      <w:lang w:val="en-US" w:eastAsia="zh-CN"/>
                    </w:rPr>
                  </w:pPr>
                  <w:r>
                    <w:rPr>
                      <w:rFonts w:hint="eastAsia"/>
                      <w:color w:val="auto"/>
                      <w:lang w:val="en-US" w:eastAsia="zh-CN"/>
                    </w:rPr>
                    <w:t>城市/农村选项</w:t>
                  </w:r>
                </w:p>
              </w:tc>
              <w:tc>
                <w:tcPr>
                  <w:tcW w:w="2222" w:type="dxa"/>
                  <w:noWrap w:val="0"/>
                  <w:vAlign w:val="center"/>
                </w:tcPr>
                <w:p w14:paraId="4778510C">
                  <w:pPr>
                    <w:pStyle w:val="24"/>
                    <w:bidi w:val="0"/>
                    <w:jc w:val="center"/>
                    <w:rPr>
                      <w:rFonts w:hint="default"/>
                      <w:color w:val="auto"/>
                      <w:lang w:val="en-US" w:eastAsia="zh-CN"/>
                    </w:rPr>
                  </w:pPr>
                  <w:r>
                    <w:rPr>
                      <w:rFonts w:hint="eastAsia"/>
                      <w:color w:val="auto"/>
                      <w:lang w:val="en-US" w:eastAsia="zh-CN"/>
                    </w:rPr>
                    <w:t>城市/农村</w:t>
                  </w:r>
                </w:p>
              </w:tc>
              <w:tc>
                <w:tcPr>
                  <w:tcW w:w="4874" w:type="dxa"/>
                  <w:noWrap w:val="0"/>
                  <w:vAlign w:val="center"/>
                </w:tcPr>
                <w:p w14:paraId="778D69E1">
                  <w:pPr>
                    <w:pStyle w:val="24"/>
                    <w:bidi w:val="0"/>
                    <w:jc w:val="center"/>
                    <w:rPr>
                      <w:rFonts w:hint="default"/>
                      <w:color w:val="auto"/>
                      <w:lang w:val="en-US" w:eastAsia="zh-CN"/>
                    </w:rPr>
                  </w:pPr>
                  <w:r>
                    <w:rPr>
                      <w:rFonts w:hint="eastAsia"/>
                      <w:color w:val="auto"/>
                      <w:lang w:val="en-US" w:eastAsia="zh-CN"/>
                    </w:rPr>
                    <w:t>农村</w:t>
                  </w:r>
                </w:p>
              </w:tc>
            </w:tr>
            <w:tr w14:paraId="15CAE4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noWrap w:val="0"/>
                  <w:vAlign w:val="center"/>
                </w:tcPr>
                <w:p w14:paraId="5BFDD9B9">
                  <w:pPr>
                    <w:pStyle w:val="24"/>
                    <w:bidi w:val="0"/>
                    <w:jc w:val="center"/>
                    <w:rPr>
                      <w:rFonts w:hint="default"/>
                      <w:color w:val="auto"/>
                      <w:lang w:val="en-US" w:eastAsia="zh-CN"/>
                    </w:rPr>
                  </w:pPr>
                </w:p>
              </w:tc>
              <w:tc>
                <w:tcPr>
                  <w:tcW w:w="2222" w:type="dxa"/>
                  <w:noWrap w:val="0"/>
                  <w:vAlign w:val="center"/>
                </w:tcPr>
                <w:p w14:paraId="141BD099">
                  <w:pPr>
                    <w:pStyle w:val="24"/>
                    <w:bidi w:val="0"/>
                    <w:jc w:val="center"/>
                    <w:rPr>
                      <w:rFonts w:hint="default"/>
                      <w:color w:val="auto"/>
                      <w:lang w:val="en-US" w:eastAsia="zh-CN"/>
                    </w:rPr>
                  </w:pPr>
                  <w:r>
                    <w:rPr>
                      <w:rFonts w:hint="eastAsia"/>
                      <w:color w:val="auto"/>
                      <w:lang w:val="en-US" w:eastAsia="zh-CN"/>
                    </w:rPr>
                    <w:t>人口数（城市选项时）</w:t>
                  </w:r>
                </w:p>
              </w:tc>
              <w:tc>
                <w:tcPr>
                  <w:tcW w:w="4874" w:type="dxa"/>
                  <w:noWrap w:val="0"/>
                  <w:vAlign w:val="center"/>
                </w:tcPr>
                <w:p w14:paraId="42258B76">
                  <w:pPr>
                    <w:pStyle w:val="24"/>
                    <w:bidi w:val="0"/>
                    <w:jc w:val="center"/>
                    <w:rPr>
                      <w:rFonts w:hint="default"/>
                      <w:color w:val="auto"/>
                      <w:lang w:val="en-US" w:eastAsia="zh-CN"/>
                    </w:rPr>
                  </w:pPr>
                  <w:r>
                    <w:rPr>
                      <w:rFonts w:hint="eastAsia"/>
                      <w:color w:val="auto"/>
                      <w:lang w:val="en-US" w:eastAsia="zh-CN"/>
                    </w:rPr>
                    <w:t>/</w:t>
                  </w:r>
                </w:p>
              </w:tc>
            </w:tr>
            <w:tr w14:paraId="6DCED9C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5" w:type="dxa"/>
                  <w:gridSpan w:val="2"/>
                  <w:noWrap w:val="0"/>
                  <w:vAlign w:val="center"/>
                </w:tcPr>
                <w:p w14:paraId="264B27A1">
                  <w:pPr>
                    <w:pStyle w:val="24"/>
                    <w:bidi w:val="0"/>
                    <w:jc w:val="center"/>
                    <w:rPr>
                      <w:rFonts w:hint="default"/>
                      <w:color w:val="auto"/>
                      <w:lang w:val="en-US" w:eastAsia="zh-CN"/>
                    </w:rPr>
                  </w:pPr>
                  <w:r>
                    <w:rPr>
                      <w:rFonts w:hint="eastAsia"/>
                      <w:color w:val="auto"/>
                      <w:lang w:val="en-US" w:eastAsia="zh-CN"/>
                    </w:rPr>
                    <w:t>最高环境温度（℃）</w:t>
                  </w:r>
                </w:p>
              </w:tc>
              <w:tc>
                <w:tcPr>
                  <w:tcW w:w="4874" w:type="dxa"/>
                  <w:noWrap w:val="0"/>
                  <w:vAlign w:val="center"/>
                </w:tcPr>
                <w:p w14:paraId="248A2CE1">
                  <w:pPr>
                    <w:pStyle w:val="24"/>
                    <w:bidi w:val="0"/>
                    <w:jc w:val="center"/>
                    <w:rPr>
                      <w:rFonts w:hint="default"/>
                      <w:color w:val="auto"/>
                      <w:lang w:val="en-US" w:eastAsia="zh-CN"/>
                    </w:rPr>
                  </w:pPr>
                  <w:r>
                    <w:rPr>
                      <w:rFonts w:hint="eastAsia"/>
                      <w:color w:val="auto"/>
                      <w:lang w:val="en-US" w:eastAsia="zh-CN"/>
                    </w:rPr>
                    <w:t>35.4</w:t>
                  </w:r>
                </w:p>
              </w:tc>
            </w:tr>
            <w:tr w14:paraId="2932C0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5" w:type="dxa"/>
                  <w:gridSpan w:val="2"/>
                  <w:noWrap w:val="0"/>
                  <w:vAlign w:val="center"/>
                </w:tcPr>
                <w:p w14:paraId="00B378C4">
                  <w:pPr>
                    <w:pStyle w:val="24"/>
                    <w:bidi w:val="0"/>
                    <w:jc w:val="center"/>
                    <w:rPr>
                      <w:rFonts w:hint="default"/>
                      <w:color w:val="auto"/>
                      <w:lang w:val="en-US" w:eastAsia="zh-CN"/>
                    </w:rPr>
                  </w:pPr>
                  <w:r>
                    <w:rPr>
                      <w:rFonts w:hint="eastAsia"/>
                      <w:color w:val="auto"/>
                      <w:lang w:val="en-US" w:eastAsia="zh-CN"/>
                    </w:rPr>
                    <w:t>最低环境温度（℃）</w:t>
                  </w:r>
                </w:p>
              </w:tc>
              <w:tc>
                <w:tcPr>
                  <w:tcW w:w="4874" w:type="dxa"/>
                  <w:noWrap w:val="0"/>
                  <w:vAlign w:val="center"/>
                </w:tcPr>
                <w:p w14:paraId="2CCB90E9">
                  <w:pPr>
                    <w:pStyle w:val="24"/>
                    <w:bidi w:val="0"/>
                    <w:jc w:val="center"/>
                    <w:rPr>
                      <w:rFonts w:hint="default"/>
                      <w:color w:val="auto"/>
                      <w:lang w:val="en-US" w:eastAsia="zh-CN"/>
                    </w:rPr>
                  </w:pPr>
                  <w:r>
                    <w:rPr>
                      <w:rFonts w:hint="eastAsia"/>
                      <w:color w:val="auto"/>
                      <w:lang w:val="en-US" w:eastAsia="zh-CN"/>
                    </w:rPr>
                    <w:t>-25.7</w:t>
                  </w:r>
                </w:p>
              </w:tc>
            </w:tr>
            <w:tr w14:paraId="056E75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5" w:type="dxa"/>
                  <w:gridSpan w:val="2"/>
                  <w:noWrap w:val="0"/>
                  <w:vAlign w:val="center"/>
                </w:tcPr>
                <w:p w14:paraId="42790D8D">
                  <w:pPr>
                    <w:pStyle w:val="24"/>
                    <w:bidi w:val="0"/>
                    <w:jc w:val="center"/>
                    <w:rPr>
                      <w:rFonts w:hint="default"/>
                      <w:color w:val="auto"/>
                      <w:lang w:val="en-US" w:eastAsia="zh-CN"/>
                    </w:rPr>
                  </w:pPr>
                  <w:r>
                    <w:rPr>
                      <w:rFonts w:hint="eastAsia"/>
                      <w:color w:val="auto"/>
                      <w:lang w:val="en-US" w:eastAsia="zh-CN"/>
                    </w:rPr>
                    <w:t>土地利用类型</w:t>
                  </w:r>
                </w:p>
              </w:tc>
              <w:tc>
                <w:tcPr>
                  <w:tcW w:w="4874" w:type="dxa"/>
                  <w:noWrap w:val="0"/>
                  <w:vAlign w:val="center"/>
                </w:tcPr>
                <w:p w14:paraId="4D918963">
                  <w:pPr>
                    <w:pStyle w:val="24"/>
                    <w:bidi w:val="0"/>
                    <w:jc w:val="center"/>
                    <w:rPr>
                      <w:rFonts w:hint="default"/>
                      <w:color w:val="auto"/>
                      <w:lang w:val="en-US" w:eastAsia="zh-CN"/>
                    </w:rPr>
                  </w:pPr>
                  <w:r>
                    <w:rPr>
                      <w:rFonts w:hint="eastAsia"/>
                      <w:color w:val="auto"/>
                      <w:lang w:val="en-US" w:eastAsia="zh-CN"/>
                    </w:rPr>
                    <w:t>工业用地</w:t>
                  </w:r>
                </w:p>
              </w:tc>
            </w:tr>
            <w:tr w14:paraId="1FF1D9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5" w:type="dxa"/>
                  <w:gridSpan w:val="2"/>
                  <w:noWrap w:val="0"/>
                  <w:vAlign w:val="center"/>
                </w:tcPr>
                <w:p w14:paraId="7F10FAE7">
                  <w:pPr>
                    <w:pStyle w:val="24"/>
                    <w:bidi w:val="0"/>
                    <w:jc w:val="center"/>
                    <w:rPr>
                      <w:rFonts w:hint="default"/>
                      <w:color w:val="auto"/>
                      <w:lang w:val="en-US" w:eastAsia="zh-CN"/>
                    </w:rPr>
                  </w:pPr>
                  <w:r>
                    <w:rPr>
                      <w:rFonts w:hint="eastAsia"/>
                      <w:color w:val="auto"/>
                      <w:lang w:val="en-US" w:eastAsia="zh-CN"/>
                    </w:rPr>
                    <w:t>区域湿度条件</w:t>
                  </w:r>
                </w:p>
              </w:tc>
              <w:tc>
                <w:tcPr>
                  <w:tcW w:w="4874" w:type="dxa"/>
                  <w:noWrap w:val="0"/>
                  <w:vAlign w:val="center"/>
                </w:tcPr>
                <w:p w14:paraId="7681FE34">
                  <w:pPr>
                    <w:pStyle w:val="24"/>
                    <w:bidi w:val="0"/>
                    <w:jc w:val="center"/>
                    <w:rPr>
                      <w:rFonts w:hint="default"/>
                      <w:color w:val="auto"/>
                      <w:lang w:val="en-US" w:eastAsia="zh-CN"/>
                    </w:rPr>
                  </w:pPr>
                  <w:r>
                    <w:rPr>
                      <w:rFonts w:hint="eastAsia"/>
                      <w:color w:val="auto"/>
                      <w:lang w:val="en-US" w:eastAsia="zh-CN"/>
                    </w:rPr>
                    <w:t>干燥气候</w:t>
                  </w:r>
                </w:p>
              </w:tc>
            </w:tr>
            <w:tr w14:paraId="224288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restart"/>
                  <w:noWrap w:val="0"/>
                  <w:vAlign w:val="center"/>
                </w:tcPr>
                <w:p w14:paraId="6CBF4860">
                  <w:pPr>
                    <w:pStyle w:val="24"/>
                    <w:bidi w:val="0"/>
                    <w:jc w:val="center"/>
                    <w:rPr>
                      <w:rFonts w:hint="default"/>
                      <w:color w:val="auto"/>
                      <w:lang w:val="en-US" w:eastAsia="zh-CN"/>
                    </w:rPr>
                  </w:pPr>
                  <w:r>
                    <w:rPr>
                      <w:rFonts w:hint="eastAsia"/>
                      <w:color w:val="auto"/>
                      <w:lang w:val="en-US" w:eastAsia="zh-CN"/>
                    </w:rPr>
                    <w:t>是否考虑地形</w:t>
                  </w:r>
                </w:p>
              </w:tc>
              <w:tc>
                <w:tcPr>
                  <w:tcW w:w="2222" w:type="dxa"/>
                  <w:noWrap w:val="0"/>
                  <w:vAlign w:val="center"/>
                </w:tcPr>
                <w:p w14:paraId="67A7E277">
                  <w:pPr>
                    <w:pStyle w:val="24"/>
                    <w:bidi w:val="0"/>
                    <w:jc w:val="center"/>
                    <w:rPr>
                      <w:rFonts w:hint="default"/>
                      <w:color w:val="auto"/>
                      <w:lang w:val="en-US" w:eastAsia="zh-CN"/>
                    </w:rPr>
                  </w:pPr>
                  <w:r>
                    <w:rPr>
                      <w:rFonts w:hint="eastAsia"/>
                      <w:color w:val="auto"/>
                      <w:lang w:val="en-US" w:eastAsia="zh-CN"/>
                    </w:rPr>
                    <w:t>考虑地形</w:t>
                  </w:r>
                </w:p>
              </w:tc>
              <w:tc>
                <w:tcPr>
                  <w:tcW w:w="4874" w:type="dxa"/>
                  <w:noWrap w:val="0"/>
                  <w:vAlign w:val="center"/>
                </w:tcPr>
                <w:p w14:paraId="215C4202">
                  <w:pPr>
                    <w:pStyle w:val="24"/>
                    <w:bidi w:val="0"/>
                    <w:jc w:val="center"/>
                    <w:rPr>
                      <w:rFonts w:hint="default"/>
                      <w:color w:val="auto"/>
                      <w:lang w:val="en-US" w:eastAsia="zh-CN"/>
                    </w:rPr>
                  </w:pPr>
                  <w:r>
                    <w:rPr>
                      <w:rFonts w:hint="eastAsia"/>
                      <w:color w:val="auto"/>
                      <w:lang w:val="en-US" w:eastAsia="zh-CN"/>
                    </w:rPr>
                    <w:t>□是  ☑否</w:t>
                  </w:r>
                </w:p>
              </w:tc>
            </w:tr>
            <w:tr w14:paraId="260B749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noWrap w:val="0"/>
                  <w:vAlign w:val="center"/>
                </w:tcPr>
                <w:p w14:paraId="1E197B9E">
                  <w:pPr>
                    <w:pStyle w:val="24"/>
                    <w:bidi w:val="0"/>
                    <w:jc w:val="center"/>
                    <w:rPr>
                      <w:rFonts w:hint="default"/>
                      <w:color w:val="auto"/>
                      <w:lang w:val="en-US" w:eastAsia="zh-CN"/>
                    </w:rPr>
                  </w:pPr>
                </w:p>
              </w:tc>
              <w:tc>
                <w:tcPr>
                  <w:tcW w:w="2222" w:type="dxa"/>
                  <w:noWrap w:val="0"/>
                  <w:vAlign w:val="center"/>
                </w:tcPr>
                <w:p w14:paraId="7B04544A">
                  <w:pPr>
                    <w:pStyle w:val="24"/>
                    <w:bidi w:val="0"/>
                    <w:jc w:val="center"/>
                    <w:rPr>
                      <w:rFonts w:hint="default"/>
                      <w:color w:val="auto"/>
                      <w:lang w:val="en-US" w:eastAsia="zh-CN"/>
                    </w:rPr>
                  </w:pPr>
                  <w:r>
                    <w:rPr>
                      <w:rFonts w:hint="eastAsia"/>
                      <w:color w:val="auto"/>
                      <w:lang w:val="en-US" w:eastAsia="zh-CN"/>
                    </w:rPr>
                    <w:t>地形数据分辨率/m</w:t>
                  </w:r>
                </w:p>
              </w:tc>
              <w:tc>
                <w:tcPr>
                  <w:tcW w:w="4874" w:type="dxa"/>
                  <w:noWrap w:val="0"/>
                  <w:vAlign w:val="center"/>
                </w:tcPr>
                <w:p w14:paraId="40886E46">
                  <w:pPr>
                    <w:pStyle w:val="24"/>
                    <w:bidi w:val="0"/>
                    <w:jc w:val="center"/>
                    <w:rPr>
                      <w:rFonts w:hint="default"/>
                      <w:color w:val="auto"/>
                      <w:lang w:val="en-US" w:eastAsia="zh-CN"/>
                    </w:rPr>
                  </w:pPr>
                  <w:r>
                    <w:rPr>
                      <w:rFonts w:hint="eastAsia"/>
                      <w:color w:val="auto"/>
                      <w:lang w:val="en-US" w:eastAsia="zh-CN"/>
                    </w:rPr>
                    <w:t>/</w:t>
                  </w:r>
                </w:p>
              </w:tc>
            </w:tr>
            <w:tr w14:paraId="0774CF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restart"/>
                  <w:noWrap w:val="0"/>
                  <w:vAlign w:val="center"/>
                </w:tcPr>
                <w:p w14:paraId="1EB35E42">
                  <w:pPr>
                    <w:pStyle w:val="24"/>
                    <w:bidi w:val="0"/>
                    <w:jc w:val="center"/>
                    <w:rPr>
                      <w:rFonts w:hint="default"/>
                      <w:color w:val="auto"/>
                      <w:lang w:val="en-US" w:eastAsia="zh-CN"/>
                    </w:rPr>
                  </w:pPr>
                  <w:r>
                    <w:rPr>
                      <w:rFonts w:hint="eastAsia"/>
                      <w:color w:val="auto"/>
                      <w:lang w:val="en-US" w:eastAsia="zh-CN"/>
                    </w:rPr>
                    <w:t>是否考虑岸线熏线</w:t>
                  </w:r>
                </w:p>
              </w:tc>
              <w:tc>
                <w:tcPr>
                  <w:tcW w:w="2222" w:type="dxa"/>
                  <w:noWrap w:val="0"/>
                  <w:vAlign w:val="center"/>
                </w:tcPr>
                <w:p w14:paraId="18EAE305">
                  <w:pPr>
                    <w:pStyle w:val="24"/>
                    <w:bidi w:val="0"/>
                    <w:jc w:val="center"/>
                    <w:rPr>
                      <w:rFonts w:hint="default"/>
                      <w:color w:val="auto"/>
                      <w:lang w:val="en-US" w:eastAsia="zh-CN"/>
                    </w:rPr>
                  </w:pPr>
                  <w:r>
                    <w:rPr>
                      <w:rFonts w:hint="eastAsia"/>
                      <w:color w:val="auto"/>
                      <w:lang w:val="en-US" w:eastAsia="zh-CN"/>
                    </w:rPr>
                    <w:t>考虑岸线熏线</w:t>
                  </w:r>
                </w:p>
              </w:tc>
              <w:tc>
                <w:tcPr>
                  <w:tcW w:w="4874" w:type="dxa"/>
                  <w:noWrap w:val="0"/>
                  <w:vAlign w:val="center"/>
                </w:tcPr>
                <w:p w14:paraId="5A1D7675">
                  <w:pPr>
                    <w:pStyle w:val="24"/>
                    <w:bidi w:val="0"/>
                    <w:jc w:val="center"/>
                    <w:rPr>
                      <w:rFonts w:hint="default"/>
                      <w:color w:val="auto"/>
                      <w:lang w:val="en-US" w:eastAsia="zh-CN"/>
                    </w:rPr>
                  </w:pPr>
                  <w:r>
                    <w:rPr>
                      <w:rFonts w:hint="eastAsia"/>
                      <w:color w:val="auto"/>
                      <w:lang w:val="en-US" w:eastAsia="zh-CN"/>
                    </w:rPr>
                    <w:t>□是  ☑否</w:t>
                  </w:r>
                </w:p>
              </w:tc>
            </w:tr>
            <w:tr w14:paraId="4C2A57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noWrap w:val="0"/>
                  <w:vAlign w:val="center"/>
                </w:tcPr>
                <w:p w14:paraId="7ECB8AD3">
                  <w:pPr>
                    <w:pStyle w:val="24"/>
                    <w:bidi w:val="0"/>
                    <w:jc w:val="center"/>
                    <w:rPr>
                      <w:rFonts w:hint="default"/>
                      <w:color w:val="auto"/>
                      <w:lang w:val="en-US" w:eastAsia="zh-CN"/>
                    </w:rPr>
                  </w:pPr>
                </w:p>
              </w:tc>
              <w:tc>
                <w:tcPr>
                  <w:tcW w:w="2222" w:type="dxa"/>
                  <w:noWrap w:val="0"/>
                  <w:vAlign w:val="center"/>
                </w:tcPr>
                <w:p w14:paraId="58A18252">
                  <w:pPr>
                    <w:pStyle w:val="24"/>
                    <w:bidi w:val="0"/>
                    <w:jc w:val="center"/>
                    <w:rPr>
                      <w:rFonts w:hint="default"/>
                      <w:color w:val="auto"/>
                      <w:lang w:val="en-US" w:eastAsia="zh-CN"/>
                    </w:rPr>
                  </w:pPr>
                  <w:r>
                    <w:rPr>
                      <w:rFonts w:hint="eastAsia"/>
                      <w:color w:val="auto"/>
                      <w:lang w:val="en-US" w:eastAsia="zh-CN"/>
                    </w:rPr>
                    <w:t>岸线距离/km</w:t>
                  </w:r>
                </w:p>
              </w:tc>
              <w:tc>
                <w:tcPr>
                  <w:tcW w:w="4874" w:type="dxa"/>
                  <w:noWrap w:val="0"/>
                  <w:vAlign w:val="center"/>
                </w:tcPr>
                <w:p w14:paraId="0460E368">
                  <w:pPr>
                    <w:pStyle w:val="24"/>
                    <w:bidi w:val="0"/>
                    <w:jc w:val="center"/>
                    <w:rPr>
                      <w:rFonts w:hint="default"/>
                      <w:color w:val="auto"/>
                      <w:lang w:val="en-US" w:eastAsia="zh-CN"/>
                    </w:rPr>
                  </w:pPr>
                  <w:r>
                    <w:rPr>
                      <w:rFonts w:hint="eastAsia"/>
                      <w:color w:val="auto"/>
                      <w:lang w:val="en-US" w:eastAsia="zh-CN"/>
                    </w:rPr>
                    <w:t>/</w:t>
                  </w:r>
                </w:p>
              </w:tc>
            </w:tr>
            <w:tr w14:paraId="0215E2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noWrap w:val="0"/>
                  <w:vAlign w:val="center"/>
                </w:tcPr>
                <w:p w14:paraId="47F9BEB9">
                  <w:pPr>
                    <w:pStyle w:val="24"/>
                    <w:bidi w:val="0"/>
                    <w:jc w:val="center"/>
                    <w:rPr>
                      <w:rFonts w:hint="default"/>
                      <w:color w:val="auto"/>
                      <w:lang w:val="en-US" w:eastAsia="zh-CN"/>
                    </w:rPr>
                  </w:pPr>
                </w:p>
              </w:tc>
              <w:tc>
                <w:tcPr>
                  <w:tcW w:w="2222" w:type="dxa"/>
                  <w:noWrap w:val="0"/>
                  <w:vAlign w:val="center"/>
                </w:tcPr>
                <w:p w14:paraId="0AE27B3F">
                  <w:pPr>
                    <w:pStyle w:val="24"/>
                    <w:bidi w:val="0"/>
                    <w:jc w:val="center"/>
                    <w:rPr>
                      <w:rFonts w:hint="default"/>
                      <w:color w:val="auto"/>
                      <w:lang w:val="en-US" w:eastAsia="zh-CN"/>
                    </w:rPr>
                  </w:pPr>
                  <w:r>
                    <w:rPr>
                      <w:rFonts w:hint="eastAsia"/>
                      <w:color w:val="auto"/>
                      <w:lang w:val="en-US" w:eastAsia="zh-CN"/>
                    </w:rPr>
                    <w:t>岸线方向/°</w:t>
                  </w:r>
                </w:p>
              </w:tc>
              <w:tc>
                <w:tcPr>
                  <w:tcW w:w="4874" w:type="dxa"/>
                  <w:noWrap w:val="0"/>
                  <w:vAlign w:val="center"/>
                </w:tcPr>
                <w:p w14:paraId="3C2328A3">
                  <w:pPr>
                    <w:pStyle w:val="24"/>
                    <w:bidi w:val="0"/>
                    <w:jc w:val="center"/>
                    <w:rPr>
                      <w:rFonts w:hint="default"/>
                      <w:color w:val="auto"/>
                      <w:lang w:val="en-US" w:eastAsia="zh-CN"/>
                    </w:rPr>
                  </w:pPr>
                  <w:r>
                    <w:rPr>
                      <w:rFonts w:hint="eastAsia"/>
                      <w:color w:val="auto"/>
                      <w:lang w:val="en-US" w:eastAsia="zh-CN"/>
                    </w:rPr>
                    <w:t>/</w:t>
                  </w:r>
                </w:p>
              </w:tc>
            </w:tr>
          </w:tbl>
          <w:p w14:paraId="61EE7744">
            <w:pPr>
              <w:pStyle w:val="23"/>
              <w:bidi w:val="0"/>
              <w:rPr>
                <w:rFonts w:hint="eastAsia"/>
                <w:color w:val="auto"/>
                <w:lang w:val="en-US" w:eastAsia="zh-CN"/>
              </w:rPr>
            </w:pPr>
            <w:r>
              <w:rPr>
                <w:rFonts w:hint="eastAsia"/>
                <w:color w:val="auto"/>
                <w:lang w:val="en-US" w:eastAsia="zh-CN"/>
              </w:rPr>
              <w:t>根据</w:t>
            </w:r>
            <w:r>
              <w:rPr>
                <w:rFonts w:hint="default"/>
                <w:color w:val="auto"/>
                <w:lang w:val="en-US" w:eastAsia="zh-CN"/>
              </w:rPr>
              <w:t>AERSCREEN计算</w:t>
            </w:r>
            <w:r>
              <w:rPr>
                <w:rFonts w:hint="eastAsia"/>
                <w:color w:val="auto"/>
                <w:lang w:val="en-US" w:eastAsia="zh-CN"/>
              </w:rPr>
              <w:t>分析，正常工况下，本项目非甲烷总烃对环境影响状况见表。</w:t>
            </w:r>
          </w:p>
          <w:p w14:paraId="4A4E9B9E">
            <w:pPr>
              <w:pStyle w:val="25"/>
              <w:bidi w:val="0"/>
              <w:rPr>
                <w:rFonts w:hint="eastAsia"/>
                <w:color w:val="auto"/>
                <w:lang w:val="en-US" w:eastAsia="zh-CN"/>
              </w:rPr>
            </w:pPr>
            <w:r>
              <w:rPr>
                <w:rFonts w:hint="eastAsia"/>
                <w:color w:val="auto"/>
                <w:lang w:val="en-US" w:eastAsia="zh-CN"/>
              </w:rPr>
              <w:t>表4-6              非甲烷总烃估算模式预测结果一览表</w:t>
            </w:r>
          </w:p>
          <w:tbl>
            <w:tblPr>
              <w:tblStyle w:val="18"/>
              <w:tblW w:w="0" w:type="auto"/>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2874"/>
              <w:gridCol w:w="2874"/>
            </w:tblGrid>
            <w:tr w14:paraId="3C8D42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vMerge w:val="restart"/>
                  <w:noWrap w:val="0"/>
                  <w:vAlign w:val="center"/>
                </w:tcPr>
                <w:p w14:paraId="17770B5D">
                  <w:pPr>
                    <w:pStyle w:val="24"/>
                    <w:bidi w:val="0"/>
                    <w:jc w:val="center"/>
                    <w:rPr>
                      <w:rFonts w:hint="default"/>
                      <w:b/>
                      <w:bCs/>
                      <w:color w:val="auto"/>
                      <w:lang w:val="en-US" w:eastAsia="zh-CN"/>
                    </w:rPr>
                  </w:pPr>
                  <w:r>
                    <w:rPr>
                      <w:rFonts w:hint="eastAsia"/>
                      <w:b/>
                      <w:bCs/>
                      <w:color w:val="auto"/>
                      <w:lang w:val="en-US" w:eastAsia="zh-CN"/>
                    </w:rPr>
                    <w:t>距源中心下风向距离m</w:t>
                  </w:r>
                </w:p>
              </w:tc>
              <w:tc>
                <w:tcPr>
                  <w:tcW w:w="5793" w:type="dxa"/>
                  <w:gridSpan w:val="2"/>
                  <w:noWrap w:val="0"/>
                  <w:vAlign w:val="center"/>
                </w:tcPr>
                <w:p w14:paraId="28EDFDF9">
                  <w:pPr>
                    <w:pStyle w:val="24"/>
                    <w:bidi w:val="0"/>
                    <w:jc w:val="center"/>
                    <w:rPr>
                      <w:rFonts w:hint="default"/>
                      <w:b/>
                      <w:bCs/>
                      <w:color w:val="auto"/>
                      <w:lang w:val="en-US" w:eastAsia="zh-CN"/>
                    </w:rPr>
                  </w:pPr>
                  <w:r>
                    <w:rPr>
                      <w:rFonts w:hint="eastAsia"/>
                      <w:b/>
                      <w:bCs/>
                      <w:color w:val="auto"/>
                      <w:lang w:val="en-US" w:eastAsia="zh-CN"/>
                    </w:rPr>
                    <w:t>非甲烷总烃</w:t>
                  </w:r>
                </w:p>
              </w:tc>
            </w:tr>
            <w:tr w14:paraId="559845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vMerge w:val="continue"/>
                  <w:noWrap w:val="0"/>
                  <w:vAlign w:val="center"/>
                </w:tcPr>
                <w:p w14:paraId="3C940968">
                  <w:pPr>
                    <w:pStyle w:val="24"/>
                    <w:bidi w:val="0"/>
                    <w:jc w:val="center"/>
                    <w:rPr>
                      <w:rFonts w:hint="default"/>
                      <w:b/>
                      <w:bCs/>
                      <w:color w:val="auto"/>
                      <w:lang w:val="en-US" w:eastAsia="zh-CN"/>
                    </w:rPr>
                  </w:pPr>
                </w:p>
              </w:tc>
              <w:tc>
                <w:tcPr>
                  <w:tcW w:w="2896" w:type="dxa"/>
                  <w:noWrap w:val="0"/>
                  <w:vAlign w:val="center"/>
                </w:tcPr>
                <w:p w14:paraId="513EB9AA">
                  <w:pPr>
                    <w:pStyle w:val="24"/>
                    <w:bidi w:val="0"/>
                    <w:jc w:val="center"/>
                    <w:rPr>
                      <w:rFonts w:hint="default"/>
                      <w:b/>
                      <w:bCs/>
                      <w:color w:val="auto"/>
                      <w:lang w:val="en-US" w:eastAsia="zh-CN"/>
                    </w:rPr>
                  </w:pPr>
                  <w:r>
                    <w:rPr>
                      <w:rFonts w:hint="eastAsia"/>
                      <w:b/>
                      <w:bCs/>
                      <w:color w:val="auto"/>
                      <w:lang w:val="en-US" w:eastAsia="zh-CN"/>
                    </w:rPr>
                    <w:t>下风向浓度mg/m</w:t>
                  </w:r>
                  <w:r>
                    <w:rPr>
                      <w:rFonts w:hint="eastAsia"/>
                      <w:b/>
                      <w:bCs/>
                      <w:color w:val="auto"/>
                      <w:vertAlign w:val="superscript"/>
                      <w:lang w:val="en-US" w:eastAsia="zh-CN"/>
                    </w:rPr>
                    <w:t>3</w:t>
                  </w:r>
                </w:p>
              </w:tc>
              <w:tc>
                <w:tcPr>
                  <w:tcW w:w="2897" w:type="dxa"/>
                  <w:noWrap w:val="0"/>
                  <w:vAlign w:val="center"/>
                </w:tcPr>
                <w:p w14:paraId="56F7F9DE">
                  <w:pPr>
                    <w:pStyle w:val="24"/>
                    <w:bidi w:val="0"/>
                    <w:jc w:val="center"/>
                    <w:rPr>
                      <w:rFonts w:hint="default"/>
                      <w:b/>
                      <w:bCs/>
                      <w:color w:val="auto"/>
                      <w:lang w:val="en-US" w:eastAsia="zh-CN"/>
                    </w:rPr>
                  </w:pPr>
                  <w:r>
                    <w:rPr>
                      <w:rFonts w:hint="eastAsia"/>
                      <w:b/>
                      <w:bCs/>
                      <w:color w:val="auto"/>
                      <w:lang w:val="en-US" w:eastAsia="zh-CN"/>
                    </w:rPr>
                    <w:t>浓度占标率%</w:t>
                  </w:r>
                </w:p>
              </w:tc>
            </w:tr>
            <w:tr w14:paraId="03FF3E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noWrap w:val="0"/>
                  <w:vAlign w:val="center"/>
                </w:tcPr>
                <w:p w14:paraId="32045A13">
                  <w:pPr>
                    <w:pStyle w:val="24"/>
                    <w:bidi w:val="0"/>
                    <w:ind w:firstLine="0" w:firstLineChars="0"/>
                    <w:jc w:val="center"/>
                    <w:rPr>
                      <w:rFonts w:hint="default"/>
                      <w:color w:val="auto"/>
                      <w:lang w:val="en-US" w:eastAsia="zh-CN"/>
                    </w:rPr>
                  </w:pPr>
                  <w:r>
                    <w:rPr>
                      <w:color w:val="auto"/>
                    </w:rPr>
                    <w:t>10</w:t>
                  </w:r>
                </w:p>
              </w:tc>
              <w:tc>
                <w:tcPr>
                  <w:tcW w:w="2896" w:type="dxa"/>
                  <w:noWrap w:val="0"/>
                  <w:vAlign w:val="center"/>
                </w:tcPr>
                <w:p w14:paraId="71C43F81">
                  <w:pPr>
                    <w:pStyle w:val="24"/>
                    <w:bidi w:val="0"/>
                    <w:jc w:val="center"/>
                    <w:rPr>
                      <w:rFonts w:hint="default"/>
                      <w:color w:val="auto"/>
                      <w:lang w:val="en-US" w:eastAsia="zh-CN"/>
                    </w:rPr>
                  </w:pPr>
                  <w:r>
                    <w:rPr>
                      <w:rFonts w:hint="default"/>
                      <w:color w:val="auto"/>
                      <w:lang w:val="en-US" w:eastAsia="zh-CN"/>
                    </w:rPr>
                    <w:t>0.009</w:t>
                  </w:r>
                </w:p>
              </w:tc>
              <w:tc>
                <w:tcPr>
                  <w:tcW w:w="2897" w:type="dxa"/>
                  <w:noWrap w:val="0"/>
                  <w:vAlign w:val="center"/>
                </w:tcPr>
                <w:p w14:paraId="1DC4C4A4">
                  <w:pPr>
                    <w:pStyle w:val="24"/>
                    <w:bidi w:val="0"/>
                    <w:jc w:val="center"/>
                    <w:rPr>
                      <w:rFonts w:hint="default"/>
                      <w:color w:val="auto"/>
                      <w:lang w:val="en-US" w:eastAsia="zh-CN"/>
                    </w:rPr>
                  </w:pPr>
                  <w:r>
                    <w:rPr>
                      <w:rFonts w:hint="default"/>
                      <w:color w:val="auto"/>
                      <w:lang w:val="en-US" w:eastAsia="zh-CN"/>
                    </w:rPr>
                    <w:t>0.215</w:t>
                  </w:r>
                </w:p>
              </w:tc>
            </w:tr>
            <w:tr w14:paraId="0A30E2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noWrap w:val="0"/>
                  <w:vAlign w:val="center"/>
                </w:tcPr>
                <w:p w14:paraId="2BEE6325">
                  <w:pPr>
                    <w:pStyle w:val="24"/>
                    <w:bidi w:val="0"/>
                    <w:ind w:firstLine="0" w:firstLineChars="0"/>
                    <w:jc w:val="center"/>
                    <w:rPr>
                      <w:rFonts w:hint="default"/>
                      <w:color w:val="auto"/>
                      <w:lang w:val="en-US" w:eastAsia="zh-CN"/>
                    </w:rPr>
                  </w:pPr>
                  <w:r>
                    <w:rPr>
                      <w:color w:val="auto"/>
                    </w:rPr>
                    <w:t>50</w:t>
                  </w:r>
                </w:p>
              </w:tc>
              <w:tc>
                <w:tcPr>
                  <w:tcW w:w="2896" w:type="dxa"/>
                  <w:noWrap w:val="0"/>
                  <w:vAlign w:val="center"/>
                </w:tcPr>
                <w:p w14:paraId="1AF9CBCA">
                  <w:pPr>
                    <w:pStyle w:val="24"/>
                    <w:bidi w:val="0"/>
                    <w:jc w:val="center"/>
                    <w:rPr>
                      <w:rFonts w:hint="default"/>
                      <w:color w:val="auto"/>
                      <w:lang w:val="en-US" w:eastAsia="zh-CN"/>
                    </w:rPr>
                  </w:pPr>
                  <w:r>
                    <w:rPr>
                      <w:rFonts w:hint="default"/>
                      <w:color w:val="auto"/>
                      <w:lang w:val="en-US" w:eastAsia="zh-CN"/>
                    </w:rPr>
                    <w:t>0.010</w:t>
                  </w:r>
                </w:p>
              </w:tc>
              <w:tc>
                <w:tcPr>
                  <w:tcW w:w="2897" w:type="dxa"/>
                  <w:noWrap w:val="0"/>
                  <w:vAlign w:val="center"/>
                </w:tcPr>
                <w:p w14:paraId="25A29053">
                  <w:pPr>
                    <w:pStyle w:val="24"/>
                    <w:bidi w:val="0"/>
                    <w:jc w:val="center"/>
                    <w:rPr>
                      <w:rFonts w:hint="default"/>
                      <w:color w:val="auto"/>
                      <w:lang w:val="en-US" w:eastAsia="zh-CN"/>
                    </w:rPr>
                  </w:pPr>
                  <w:r>
                    <w:rPr>
                      <w:rFonts w:hint="default"/>
                      <w:color w:val="auto"/>
                      <w:lang w:val="en-US" w:eastAsia="zh-CN"/>
                    </w:rPr>
                    <w:t>0.258</w:t>
                  </w:r>
                </w:p>
              </w:tc>
            </w:tr>
            <w:tr w14:paraId="3CF9FF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noWrap w:val="0"/>
                  <w:vAlign w:val="center"/>
                </w:tcPr>
                <w:p w14:paraId="2543734C">
                  <w:pPr>
                    <w:pStyle w:val="24"/>
                    <w:bidi w:val="0"/>
                    <w:ind w:firstLine="0" w:firstLineChars="0"/>
                    <w:jc w:val="center"/>
                    <w:rPr>
                      <w:rFonts w:hint="default"/>
                      <w:color w:val="auto"/>
                      <w:lang w:val="en-US" w:eastAsia="zh-CN"/>
                    </w:rPr>
                  </w:pPr>
                  <w:r>
                    <w:rPr>
                      <w:color w:val="auto"/>
                    </w:rPr>
                    <w:t>100</w:t>
                  </w:r>
                </w:p>
              </w:tc>
              <w:tc>
                <w:tcPr>
                  <w:tcW w:w="2896" w:type="dxa"/>
                  <w:noWrap w:val="0"/>
                  <w:vAlign w:val="center"/>
                </w:tcPr>
                <w:p w14:paraId="423FF65F">
                  <w:pPr>
                    <w:pStyle w:val="24"/>
                    <w:bidi w:val="0"/>
                    <w:jc w:val="center"/>
                    <w:rPr>
                      <w:rFonts w:hint="default"/>
                      <w:color w:val="auto"/>
                      <w:lang w:val="en-US" w:eastAsia="zh-CN"/>
                    </w:rPr>
                  </w:pPr>
                  <w:r>
                    <w:rPr>
                      <w:rFonts w:hint="default"/>
                      <w:color w:val="auto"/>
                      <w:lang w:val="en-US" w:eastAsia="zh-CN"/>
                    </w:rPr>
                    <w:t>0.009</w:t>
                  </w:r>
                </w:p>
              </w:tc>
              <w:tc>
                <w:tcPr>
                  <w:tcW w:w="2897" w:type="dxa"/>
                  <w:noWrap w:val="0"/>
                  <w:vAlign w:val="center"/>
                </w:tcPr>
                <w:p w14:paraId="0A980393">
                  <w:pPr>
                    <w:pStyle w:val="24"/>
                    <w:bidi w:val="0"/>
                    <w:jc w:val="center"/>
                    <w:rPr>
                      <w:rFonts w:hint="default"/>
                      <w:color w:val="auto"/>
                      <w:lang w:val="en-US" w:eastAsia="zh-CN"/>
                    </w:rPr>
                  </w:pPr>
                  <w:r>
                    <w:rPr>
                      <w:rFonts w:hint="default"/>
                      <w:color w:val="auto"/>
                      <w:lang w:val="en-US" w:eastAsia="zh-CN"/>
                    </w:rPr>
                    <w:t>0.224</w:t>
                  </w:r>
                </w:p>
              </w:tc>
            </w:tr>
            <w:tr w14:paraId="5444D7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noWrap w:val="0"/>
                  <w:vAlign w:val="center"/>
                </w:tcPr>
                <w:p w14:paraId="581A41CA">
                  <w:pPr>
                    <w:pStyle w:val="24"/>
                    <w:bidi w:val="0"/>
                    <w:ind w:firstLine="0" w:firstLineChars="0"/>
                    <w:jc w:val="center"/>
                    <w:rPr>
                      <w:rFonts w:hint="default"/>
                      <w:color w:val="auto"/>
                      <w:lang w:val="en-US" w:eastAsia="zh-CN"/>
                    </w:rPr>
                  </w:pPr>
                  <w:r>
                    <w:rPr>
                      <w:color w:val="auto"/>
                    </w:rPr>
                    <w:t>150</w:t>
                  </w:r>
                </w:p>
              </w:tc>
              <w:tc>
                <w:tcPr>
                  <w:tcW w:w="2896" w:type="dxa"/>
                  <w:noWrap w:val="0"/>
                  <w:vAlign w:val="center"/>
                </w:tcPr>
                <w:p w14:paraId="6D291D69">
                  <w:pPr>
                    <w:pStyle w:val="24"/>
                    <w:bidi w:val="0"/>
                    <w:jc w:val="center"/>
                    <w:rPr>
                      <w:rFonts w:hint="default"/>
                      <w:color w:val="auto"/>
                      <w:lang w:val="en-US" w:eastAsia="zh-CN"/>
                    </w:rPr>
                  </w:pPr>
                  <w:r>
                    <w:rPr>
                      <w:rFonts w:hint="default"/>
                      <w:color w:val="auto"/>
                      <w:lang w:val="en-US" w:eastAsia="zh-CN"/>
                    </w:rPr>
                    <w:t>0.007</w:t>
                  </w:r>
                </w:p>
              </w:tc>
              <w:tc>
                <w:tcPr>
                  <w:tcW w:w="2897" w:type="dxa"/>
                  <w:noWrap w:val="0"/>
                  <w:vAlign w:val="center"/>
                </w:tcPr>
                <w:p w14:paraId="2E47233E">
                  <w:pPr>
                    <w:pStyle w:val="24"/>
                    <w:bidi w:val="0"/>
                    <w:jc w:val="center"/>
                    <w:rPr>
                      <w:rFonts w:hint="default"/>
                      <w:color w:val="auto"/>
                      <w:lang w:val="en-US" w:eastAsia="zh-CN"/>
                    </w:rPr>
                  </w:pPr>
                  <w:r>
                    <w:rPr>
                      <w:rFonts w:hint="default"/>
                      <w:color w:val="auto"/>
                      <w:lang w:val="en-US" w:eastAsia="zh-CN"/>
                    </w:rPr>
                    <w:t>0.181</w:t>
                  </w:r>
                </w:p>
              </w:tc>
            </w:tr>
            <w:tr w14:paraId="2D16A5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96" w:type="dxa"/>
                  <w:noWrap w:val="0"/>
                  <w:vAlign w:val="center"/>
                </w:tcPr>
                <w:p w14:paraId="3F8C5306">
                  <w:pPr>
                    <w:pStyle w:val="24"/>
                    <w:bidi w:val="0"/>
                    <w:ind w:firstLine="0" w:firstLineChars="0"/>
                    <w:jc w:val="center"/>
                    <w:rPr>
                      <w:rFonts w:hint="default"/>
                      <w:color w:val="auto"/>
                      <w:lang w:val="en-US" w:eastAsia="zh-CN"/>
                    </w:rPr>
                  </w:pPr>
                  <w:r>
                    <w:rPr>
                      <w:color w:val="auto"/>
                    </w:rPr>
                    <w:t>200</w:t>
                  </w:r>
                </w:p>
              </w:tc>
              <w:tc>
                <w:tcPr>
                  <w:tcW w:w="2896" w:type="dxa"/>
                  <w:noWrap w:val="0"/>
                  <w:vAlign w:val="center"/>
                </w:tcPr>
                <w:p w14:paraId="2768FD12">
                  <w:pPr>
                    <w:pStyle w:val="24"/>
                    <w:bidi w:val="0"/>
                    <w:jc w:val="center"/>
                    <w:rPr>
                      <w:rFonts w:hint="default"/>
                      <w:color w:val="auto"/>
                      <w:lang w:val="en-US" w:eastAsia="zh-CN"/>
                    </w:rPr>
                  </w:pPr>
                  <w:r>
                    <w:rPr>
                      <w:rFonts w:hint="default"/>
                      <w:color w:val="auto"/>
                      <w:lang w:val="en-US" w:eastAsia="zh-CN"/>
                    </w:rPr>
                    <w:t>0.006</w:t>
                  </w:r>
                </w:p>
              </w:tc>
              <w:tc>
                <w:tcPr>
                  <w:tcW w:w="2897" w:type="dxa"/>
                  <w:noWrap w:val="0"/>
                  <w:vAlign w:val="center"/>
                </w:tcPr>
                <w:p w14:paraId="7FB9B885">
                  <w:pPr>
                    <w:pStyle w:val="24"/>
                    <w:bidi w:val="0"/>
                    <w:jc w:val="center"/>
                    <w:rPr>
                      <w:rFonts w:hint="default"/>
                      <w:color w:val="auto"/>
                      <w:lang w:val="en-US" w:eastAsia="zh-CN"/>
                    </w:rPr>
                  </w:pPr>
                  <w:r>
                    <w:rPr>
                      <w:rFonts w:hint="default"/>
                      <w:color w:val="auto"/>
                      <w:lang w:val="en-US" w:eastAsia="zh-CN"/>
                    </w:rPr>
                    <w:t>0.150</w:t>
                  </w:r>
                </w:p>
              </w:tc>
            </w:tr>
          </w:tbl>
          <w:p w14:paraId="048A65DF">
            <w:pPr>
              <w:pStyle w:val="23"/>
              <w:bidi w:val="0"/>
              <w:rPr>
                <w:rFonts w:hint="default"/>
                <w:color w:val="auto"/>
                <w:lang w:val="en-US" w:eastAsia="zh-CN"/>
              </w:rPr>
            </w:pPr>
            <w:r>
              <w:rPr>
                <w:rFonts w:hint="default"/>
                <w:color w:val="auto"/>
                <w:lang w:val="en-US" w:eastAsia="zh-CN"/>
              </w:rPr>
              <w:t>经估算模式预测分析，非甲烷总烃经回收系统回收后，最大落地浓度约0.</w:t>
            </w:r>
            <w:r>
              <w:rPr>
                <w:rFonts w:hint="eastAsia"/>
                <w:color w:val="auto"/>
                <w:lang w:val="en-US" w:eastAsia="zh-CN"/>
              </w:rPr>
              <w:t>010</w:t>
            </w:r>
            <w:r>
              <w:rPr>
                <w:rFonts w:hint="default"/>
                <w:color w:val="auto"/>
                <w:lang w:val="en-US" w:eastAsia="zh-CN"/>
              </w:rPr>
              <w:t>mg/m</w:t>
            </w:r>
            <w:r>
              <w:rPr>
                <w:rFonts w:hint="eastAsia"/>
                <w:color w:val="auto"/>
                <w:vertAlign w:val="superscript"/>
                <w:lang w:val="en-US" w:eastAsia="zh-CN"/>
              </w:rPr>
              <w:t>3</w:t>
            </w:r>
            <w:r>
              <w:rPr>
                <w:rFonts w:hint="default"/>
                <w:color w:val="auto"/>
                <w:lang w:val="en-US" w:eastAsia="zh-CN"/>
              </w:rPr>
              <w:t>，占标率约</w:t>
            </w:r>
            <w:r>
              <w:rPr>
                <w:rFonts w:hint="eastAsia"/>
                <w:color w:val="auto"/>
                <w:lang w:val="en-US" w:eastAsia="zh-CN"/>
              </w:rPr>
              <w:t>0.26</w:t>
            </w:r>
            <w:r>
              <w:rPr>
                <w:rFonts w:hint="default"/>
                <w:color w:val="auto"/>
                <w:lang w:val="en-US" w:eastAsia="zh-CN"/>
              </w:rPr>
              <w:t>%，未超过10%。根据评价工作等级的判据，本评价的大气环境为二级评价。</w:t>
            </w:r>
          </w:p>
          <w:p w14:paraId="26F41C50">
            <w:pPr>
              <w:pStyle w:val="23"/>
              <w:bidi w:val="0"/>
              <w:rPr>
                <w:rFonts w:hint="default"/>
                <w:color w:val="auto"/>
                <w:lang w:val="en-US" w:eastAsia="zh-CN"/>
              </w:rPr>
            </w:pPr>
            <w:r>
              <w:rPr>
                <w:rFonts w:hint="default"/>
                <w:color w:val="auto"/>
                <w:lang w:val="en-US" w:eastAsia="zh-CN"/>
              </w:rPr>
              <w:t>根据《环境影响评价技术导则大气环境》(HJ2.2-2018)，二级评价项目不进行进一步预测与评价，只对污染物排放量进行核算。二级评价的大气环境影响评价范围取自厂界外延2.5km的矩形区域。</w:t>
            </w:r>
          </w:p>
          <w:p w14:paraId="1080B703">
            <w:pPr>
              <w:pStyle w:val="44"/>
              <w:bidi w:val="0"/>
              <w:rPr>
                <w:rFonts w:hint="default" w:ascii="Times New Roman" w:hAnsi="Times New Roman" w:cs="Times New Roman"/>
                <w:color w:val="auto"/>
              </w:rPr>
            </w:pPr>
            <w:r>
              <w:rPr>
                <w:rFonts w:hint="default" w:ascii="Times New Roman" w:hAnsi="Times New Roman" w:cs="Times New Roman"/>
                <w:color w:val="auto"/>
              </w:rPr>
              <w:t>由估算结果可见，正常工况下，本</w:t>
            </w:r>
            <w:r>
              <w:rPr>
                <w:rFonts w:hint="eastAsia" w:cs="Times New Roman"/>
                <w:color w:val="auto"/>
                <w:lang w:eastAsia="zh-CN"/>
              </w:rPr>
              <w:t>分装站</w:t>
            </w:r>
            <w:r>
              <w:rPr>
                <w:rFonts w:hint="default" w:ascii="Times New Roman" w:hAnsi="Times New Roman" w:cs="Times New Roman"/>
                <w:color w:val="auto"/>
              </w:rPr>
              <w:t>无组织源引起的最大落地浓度位于下风向29m处，最大落地浓度为</w:t>
            </w:r>
            <w:r>
              <w:rPr>
                <w:rFonts w:hint="eastAsia" w:cs="Times New Roman"/>
                <w:color w:val="auto"/>
                <w:lang w:val="en-US" w:eastAsia="zh-CN"/>
              </w:rPr>
              <w:t>0.018</w:t>
            </w:r>
            <w:r>
              <w:rPr>
                <w:rFonts w:hint="default" w:ascii="Times New Roman" w:hAnsi="Times New Roman" w:cs="Times New Roman"/>
                <w:color w:val="auto"/>
              </w:rPr>
              <w:t>mg/m</w:t>
            </w:r>
            <w:r>
              <w:rPr>
                <w:rFonts w:hint="eastAsia" w:cs="Times New Roman"/>
                <w:color w:val="auto"/>
                <w:vertAlign w:val="superscript"/>
                <w:lang w:val="en-US" w:eastAsia="zh-CN"/>
              </w:rPr>
              <w:t>3</w:t>
            </w:r>
            <w:r>
              <w:rPr>
                <w:rFonts w:hint="default" w:ascii="Times New Roman" w:hAnsi="Times New Roman" w:cs="Times New Roman"/>
                <w:color w:val="auto"/>
              </w:rPr>
              <w:t>，占标率为</w:t>
            </w:r>
            <w:r>
              <w:rPr>
                <w:rFonts w:hint="eastAsia" w:cs="Times New Roman"/>
                <w:color w:val="auto"/>
                <w:lang w:val="en-US" w:eastAsia="zh-CN"/>
              </w:rPr>
              <w:t>0.45</w:t>
            </w:r>
            <w:r>
              <w:rPr>
                <w:rFonts w:hint="default" w:ascii="Times New Roman" w:hAnsi="Times New Roman" w:cs="Times New Roman"/>
                <w:color w:val="auto"/>
              </w:rPr>
              <w:t>%。四周场界可达《大气污染物综合排放标准详解》中推荐的一次标准值4.0mg/m</w:t>
            </w:r>
            <w:r>
              <w:rPr>
                <w:rFonts w:hint="eastAsia" w:cs="Times New Roman"/>
                <w:color w:val="auto"/>
                <w:vertAlign w:val="superscript"/>
                <w:lang w:val="en-US" w:eastAsia="zh-CN"/>
              </w:rPr>
              <w:t>3</w:t>
            </w:r>
            <w:r>
              <w:rPr>
                <w:rFonts w:hint="default" w:ascii="Times New Roman" w:hAnsi="Times New Roman" w:cs="Times New Roman"/>
                <w:color w:val="auto"/>
              </w:rPr>
              <w:t>，项目无需设置大气环境防护距离。</w:t>
            </w:r>
          </w:p>
          <w:p w14:paraId="1004FBE6">
            <w:pPr>
              <w:pStyle w:val="44"/>
              <w:bidi w:val="0"/>
              <w:rPr>
                <w:rFonts w:hint="default" w:ascii="Times New Roman" w:hAnsi="Times New Roman" w:cs="Times New Roman"/>
                <w:color w:val="auto"/>
              </w:rPr>
            </w:pPr>
            <w:r>
              <w:rPr>
                <w:rFonts w:hint="default" w:ascii="Times New Roman" w:hAnsi="Times New Roman" w:cs="Times New Roman"/>
                <w:color w:val="auto"/>
              </w:rPr>
              <w:t>本项目无有组织排放口，因此仅进行大气污染物无组织排放量核算，无组织排放量核算情况见表</w:t>
            </w:r>
            <w:r>
              <w:rPr>
                <w:rFonts w:hint="eastAsia" w:cs="Times New Roman"/>
                <w:color w:val="auto"/>
                <w:lang w:val="en-US" w:eastAsia="zh-CN"/>
              </w:rPr>
              <w:t>4-7</w:t>
            </w:r>
            <w:r>
              <w:rPr>
                <w:rFonts w:hint="default" w:ascii="Times New Roman" w:hAnsi="Times New Roman" w:cs="Times New Roman"/>
                <w:color w:val="auto"/>
              </w:rPr>
              <w:t>。</w:t>
            </w:r>
          </w:p>
          <w:p w14:paraId="5D29FDCD">
            <w:pPr>
              <w:pStyle w:val="25"/>
              <w:bidi w:val="0"/>
              <w:rPr>
                <w:color w:val="auto"/>
              </w:rPr>
            </w:pPr>
            <w:r>
              <w:rPr>
                <w:color w:val="auto"/>
              </w:rPr>
              <w:t>表</w:t>
            </w:r>
            <w:r>
              <w:rPr>
                <w:rFonts w:hint="eastAsia"/>
                <w:color w:val="auto"/>
                <w:lang w:val="en-US" w:eastAsia="zh-CN"/>
              </w:rPr>
              <w:t>4-7</w:t>
            </w:r>
            <w:r>
              <w:rPr>
                <w:color w:val="auto"/>
              </w:rPr>
              <w:t xml:space="preserve">   </w:t>
            </w:r>
            <w:r>
              <w:rPr>
                <w:rFonts w:hint="eastAsia"/>
                <w:color w:val="auto"/>
                <w:lang w:val="en-US" w:eastAsia="zh-CN"/>
              </w:rPr>
              <w:t xml:space="preserve">          </w:t>
            </w:r>
            <w:r>
              <w:rPr>
                <w:color w:val="auto"/>
              </w:rPr>
              <w:t xml:space="preserve">   大气污染物无组织排放量核算表</w:t>
            </w:r>
          </w:p>
          <w:tbl>
            <w:tblPr>
              <w:tblStyle w:val="57"/>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29"/>
              <w:gridCol w:w="672"/>
              <w:gridCol w:w="1018"/>
              <w:gridCol w:w="760"/>
              <w:gridCol w:w="1451"/>
              <w:gridCol w:w="2163"/>
              <w:gridCol w:w="1009"/>
              <w:gridCol w:w="923"/>
            </w:tblGrid>
            <w:tr w14:paraId="6AAFAC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2" w:type="dxa"/>
                  <w:vMerge w:val="restart"/>
                  <w:noWrap w:val="0"/>
                  <w:vAlign w:val="center"/>
                </w:tcPr>
                <w:p w14:paraId="4521F33D">
                  <w:pPr>
                    <w:pStyle w:val="24"/>
                    <w:bidi w:val="0"/>
                    <w:jc w:val="center"/>
                    <w:rPr>
                      <w:b/>
                      <w:bCs/>
                      <w:color w:val="auto"/>
                    </w:rPr>
                  </w:pPr>
                  <w:r>
                    <w:rPr>
                      <w:b/>
                      <w:bCs/>
                      <w:color w:val="auto"/>
                    </w:rPr>
                    <w:t>序号</w:t>
                  </w:r>
                </w:p>
              </w:tc>
              <w:tc>
                <w:tcPr>
                  <w:tcW w:w="675" w:type="dxa"/>
                  <w:vMerge w:val="restart"/>
                  <w:noWrap w:val="0"/>
                  <w:vAlign w:val="center"/>
                </w:tcPr>
                <w:p w14:paraId="7D7372F7">
                  <w:pPr>
                    <w:pStyle w:val="24"/>
                    <w:bidi w:val="0"/>
                    <w:jc w:val="center"/>
                    <w:rPr>
                      <w:b/>
                      <w:bCs/>
                      <w:color w:val="auto"/>
                    </w:rPr>
                  </w:pPr>
                  <w:r>
                    <w:rPr>
                      <w:b/>
                      <w:bCs/>
                      <w:color w:val="auto"/>
                    </w:rPr>
                    <w:t>排放口编号</w:t>
                  </w:r>
                </w:p>
              </w:tc>
              <w:tc>
                <w:tcPr>
                  <w:tcW w:w="1024" w:type="dxa"/>
                  <w:vMerge w:val="restart"/>
                  <w:noWrap w:val="0"/>
                  <w:vAlign w:val="center"/>
                </w:tcPr>
                <w:p w14:paraId="5C699FFB">
                  <w:pPr>
                    <w:pStyle w:val="24"/>
                    <w:bidi w:val="0"/>
                    <w:jc w:val="center"/>
                    <w:rPr>
                      <w:b/>
                      <w:bCs/>
                      <w:color w:val="auto"/>
                    </w:rPr>
                  </w:pPr>
                  <w:r>
                    <w:rPr>
                      <w:b/>
                      <w:bCs/>
                      <w:color w:val="auto"/>
                    </w:rPr>
                    <w:t>产物环节</w:t>
                  </w:r>
                </w:p>
              </w:tc>
              <w:tc>
                <w:tcPr>
                  <w:tcW w:w="764" w:type="dxa"/>
                  <w:vMerge w:val="restart"/>
                  <w:noWrap w:val="0"/>
                  <w:vAlign w:val="center"/>
                </w:tcPr>
                <w:p w14:paraId="134DE4FA">
                  <w:pPr>
                    <w:pStyle w:val="24"/>
                    <w:bidi w:val="0"/>
                    <w:jc w:val="center"/>
                    <w:rPr>
                      <w:b/>
                      <w:bCs/>
                      <w:color w:val="auto"/>
                    </w:rPr>
                  </w:pPr>
                  <w:r>
                    <w:rPr>
                      <w:b/>
                      <w:bCs/>
                      <w:color w:val="auto"/>
                    </w:rPr>
                    <w:t>污染物</w:t>
                  </w:r>
                </w:p>
              </w:tc>
              <w:tc>
                <w:tcPr>
                  <w:tcW w:w="1458" w:type="dxa"/>
                  <w:vMerge w:val="restart"/>
                  <w:noWrap w:val="0"/>
                  <w:vAlign w:val="center"/>
                </w:tcPr>
                <w:p w14:paraId="04780BE1">
                  <w:pPr>
                    <w:pStyle w:val="24"/>
                    <w:bidi w:val="0"/>
                    <w:jc w:val="center"/>
                    <w:rPr>
                      <w:b/>
                      <w:bCs/>
                      <w:color w:val="auto"/>
                    </w:rPr>
                  </w:pPr>
                  <w:r>
                    <w:rPr>
                      <w:b/>
                      <w:bCs/>
                      <w:color w:val="auto"/>
                    </w:rPr>
                    <w:t>主要污染防治措施</w:t>
                  </w:r>
                </w:p>
              </w:tc>
              <w:tc>
                <w:tcPr>
                  <w:tcW w:w="3179" w:type="dxa"/>
                  <w:gridSpan w:val="2"/>
                  <w:noWrap w:val="0"/>
                  <w:vAlign w:val="center"/>
                </w:tcPr>
                <w:p w14:paraId="419E4452">
                  <w:pPr>
                    <w:pStyle w:val="24"/>
                    <w:bidi w:val="0"/>
                    <w:jc w:val="center"/>
                    <w:rPr>
                      <w:b/>
                      <w:bCs/>
                      <w:color w:val="auto"/>
                    </w:rPr>
                  </w:pPr>
                  <w:r>
                    <w:rPr>
                      <w:b/>
                      <w:bCs/>
                      <w:color w:val="auto"/>
                    </w:rPr>
                    <w:t>国家或地方污染物排放标准</w:t>
                  </w:r>
                </w:p>
              </w:tc>
              <w:tc>
                <w:tcPr>
                  <w:tcW w:w="926" w:type="dxa"/>
                  <w:vMerge w:val="restart"/>
                  <w:noWrap w:val="0"/>
                  <w:vAlign w:val="center"/>
                </w:tcPr>
                <w:p w14:paraId="49114446">
                  <w:pPr>
                    <w:pStyle w:val="24"/>
                    <w:bidi w:val="0"/>
                    <w:jc w:val="center"/>
                    <w:rPr>
                      <w:b/>
                      <w:bCs/>
                      <w:color w:val="auto"/>
                    </w:rPr>
                  </w:pPr>
                  <w:r>
                    <w:rPr>
                      <w:b/>
                      <w:bCs/>
                      <w:color w:val="auto"/>
                    </w:rPr>
                    <w:t>排放量t/a</w:t>
                  </w:r>
                </w:p>
              </w:tc>
            </w:tr>
            <w:tr w14:paraId="36084D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32" w:type="dxa"/>
                  <w:vMerge w:val="continue"/>
                  <w:noWrap w:val="0"/>
                  <w:vAlign w:val="center"/>
                </w:tcPr>
                <w:p w14:paraId="58646619">
                  <w:pPr>
                    <w:pStyle w:val="24"/>
                    <w:bidi w:val="0"/>
                    <w:jc w:val="center"/>
                    <w:rPr>
                      <w:b/>
                      <w:bCs/>
                      <w:color w:val="auto"/>
                    </w:rPr>
                  </w:pPr>
                </w:p>
              </w:tc>
              <w:tc>
                <w:tcPr>
                  <w:tcW w:w="675" w:type="dxa"/>
                  <w:vMerge w:val="continue"/>
                  <w:noWrap w:val="0"/>
                  <w:vAlign w:val="center"/>
                </w:tcPr>
                <w:p w14:paraId="74424E0F">
                  <w:pPr>
                    <w:pStyle w:val="24"/>
                    <w:bidi w:val="0"/>
                    <w:jc w:val="center"/>
                    <w:rPr>
                      <w:b/>
                      <w:bCs/>
                      <w:color w:val="auto"/>
                    </w:rPr>
                  </w:pPr>
                </w:p>
              </w:tc>
              <w:tc>
                <w:tcPr>
                  <w:tcW w:w="1024" w:type="dxa"/>
                  <w:vMerge w:val="continue"/>
                  <w:noWrap w:val="0"/>
                  <w:vAlign w:val="center"/>
                </w:tcPr>
                <w:p w14:paraId="2D24A673">
                  <w:pPr>
                    <w:pStyle w:val="24"/>
                    <w:bidi w:val="0"/>
                    <w:jc w:val="center"/>
                    <w:rPr>
                      <w:b/>
                      <w:bCs/>
                      <w:color w:val="auto"/>
                    </w:rPr>
                  </w:pPr>
                </w:p>
              </w:tc>
              <w:tc>
                <w:tcPr>
                  <w:tcW w:w="764" w:type="dxa"/>
                  <w:vMerge w:val="continue"/>
                  <w:noWrap w:val="0"/>
                  <w:vAlign w:val="center"/>
                </w:tcPr>
                <w:p w14:paraId="2FACE13E">
                  <w:pPr>
                    <w:pStyle w:val="24"/>
                    <w:bidi w:val="0"/>
                    <w:jc w:val="center"/>
                    <w:rPr>
                      <w:b/>
                      <w:bCs/>
                      <w:color w:val="auto"/>
                    </w:rPr>
                  </w:pPr>
                </w:p>
              </w:tc>
              <w:tc>
                <w:tcPr>
                  <w:tcW w:w="1458" w:type="dxa"/>
                  <w:vMerge w:val="continue"/>
                  <w:noWrap w:val="0"/>
                  <w:vAlign w:val="center"/>
                </w:tcPr>
                <w:p w14:paraId="28A8CE20">
                  <w:pPr>
                    <w:pStyle w:val="24"/>
                    <w:bidi w:val="0"/>
                    <w:jc w:val="center"/>
                    <w:rPr>
                      <w:b/>
                      <w:bCs/>
                      <w:color w:val="auto"/>
                    </w:rPr>
                  </w:pPr>
                </w:p>
              </w:tc>
              <w:tc>
                <w:tcPr>
                  <w:tcW w:w="2168" w:type="dxa"/>
                  <w:noWrap w:val="0"/>
                  <w:vAlign w:val="center"/>
                </w:tcPr>
                <w:p w14:paraId="652BA39D">
                  <w:pPr>
                    <w:pStyle w:val="24"/>
                    <w:bidi w:val="0"/>
                    <w:jc w:val="center"/>
                    <w:rPr>
                      <w:b/>
                      <w:bCs/>
                      <w:color w:val="auto"/>
                    </w:rPr>
                  </w:pPr>
                  <w:r>
                    <w:rPr>
                      <w:b/>
                      <w:bCs/>
                      <w:color w:val="auto"/>
                    </w:rPr>
                    <w:t>标准名称</w:t>
                  </w:r>
                </w:p>
              </w:tc>
              <w:tc>
                <w:tcPr>
                  <w:tcW w:w="1011" w:type="dxa"/>
                  <w:noWrap w:val="0"/>
                  <w:vAlign w:val="center"/>
                </w:tcPr>
                <w:p w14:paraId="02A0FF4C">
                  <w:pPr>
                    <w:pStyle w:val="24"/>
                    <w:bidi w:val="0"/>
                    <w:jc w:val="center"/>
                    <w:rPr>
                      <w:b/>
                      <w:bCs/>
                      <w:color w:val="auto"/>
                    </w:rPr>
                  </w:pPr>
                  <w:r>
                    <w:rPr>
                      <w:b/>
                      <w:bCs/>
                      <w:color w:val="auto"/>
                    </w:rPr>
                    <w:t>浓度限值</w:t>
                  </w:r>
                </w:p>
              </w:tc>
              <w:tc>
                <w:tcPr>
                  <w:tcW w:w="926" w:type="dxa"/>
                  <w:vMerge w:val="continue"/>
                  <w:noWrap w:val="0"/>
                  <w:vAlign w:val="center"/>
                </w:tcPr>
                <w:p w14:paraId="08E7DD37">
                  <w:pPr>
                    <w:pStyle w:val="24"/>
                    <w:bidi w:val="0"/>
                    <w:jc w:val="center"/>
                    <w:rPr>
                      <w:b/>
                      <w:bCs/>
                      <w:color w:val="auto"/>
                    </w:rPr>
                  </w:pPr>
                </w:p>
              </w:tc>
            </w:tr>
            <w:tr w14:paraId="566ADF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8" w:hRule="atLeast"/>
              </w:trPr>
              <w:tc>
                <w:tcPr>
                  <w:tcW w:w="632" w:type="dxa"/>
                  <w:noWrap w:val="0"/>
                  <w:vAlign w:val="center"/>
                </w:tcPr>
                <w:p w14:paraId="15EC712A">
                  <w:pPr>
                    <w:pStyle w:val="24"/>
                    <w:bidi w:val="0"/>
                    <w:jc w:val="center"/>
                    <w:rPr>
                      <w:color w:val="auto"/>
                    </w:rPr>
                  </w:pPr>
                  <w:r>
                    <w:rPr>
                      <w:color w:val="auto"/>
                    </w:rPr>
                    <w:t>1</w:t>
                  </w:r>
                </w:p>
              </w:tc>
              <w:tc>
                <w:tcPr>
                  <w:tcW w:w="675" w:type="dxa"/>
                  <w:noWrap w:val="0"/>
                  <w:vAlign w:val="center"/>
                </w:tcPr>
                <w:p w14:paraId="0E8E8426">
                  <w:pPr>
                    <w:pStyle w:val="24"/>
                    <w:bidi w:val="0"/>
                    <w:jc w:val="center"/>
                    <w:rPr>
                      <w:color w:val="auto"/>
                    </w:rPr>
                  </w:pPr>
                  <w:r>
                    <w:rPr>
                      <w:color w:val="auto"/>
                    </w:rPr>
                    <w:t>G1</w:t>
                  </w:r>
                </w:p>
              </w:tc>
              <w:tc>
                <w:tcPr>
                  <w:tcW w:w="1024" w:type="dxa"/>
                  <w:noWrap w:val="0"/>
                  <w:vAlign w:val="center"/>
                </w:tcPr>
                <w:p w14:paraId="1F567CDB">
                  <w:pPr>
                    <w:pStyle w:val="24"/>
                    <w:bidi w:val="0"/>
                    <w:ind w:firstLine="0" w:firstLineChars="0"/>
                    <w:jc w:val="center"/>
                    <w:rPr>
                      <w:color w:val="auto"/>
                    </w:rPr>
                  </w:pPr>
                  <w:r>
                    <w:rPr>
                      <w:rFonts w:hint="eastAsia"/>
                      <w:color w:val="auto"/>
                      <w:lang w:val="en-US" w:eastAsia="zh-CN"/>
                    </w:rPr>
                    <w:t>贮气罐</w:t>
                  </w:r>
                </w:p>
              </w:tc>
              <w:tc>
                <w:tcPr>
                  <w:tcW w:w="764" w:type="dxa"/>
                  <w:vMerge w:val="restart"/>
                  <w:noWrap w:val="0"/>
                  <w:vAlign w:val="center"/>
                </w:tcPr>
                <w:p w14:paraId="4C66026D">
                  <w:pPr>
                    <w:pStyle w:val="24"/>
                    <w:bidi w:val="0"/>
                    <w:jc w:val="center"/>
                    <w:rPr>
                      <w:color w:val="auto"/>
                    </w:rPr>
                  </w:pPr>
                  <w:r>
                    <w:rPr>
                      <w:color w:val="auto"/>
                    </w:rPr>
                    <w:t>非甲烷总烃</w:t>
                  </w:r>
                </w:p>
              </w:tc>
              <w:tc>
                <w:tcPr>
                  <w:tcW w:w="1458" w:type="dxa"/>
                  <w:vMerge w:val="restart"/>
                  <w:noWrap w:val="0"/>
                  <w:vAlign w:val="center"/>
                </w:tcPr>
                <w:p w14:paraId="23910A7D">
                  <w:pPr>
                    <w:pStyle w:val="24"/>
                    <w:bidi w:val="0"/>
                    <w:jc w:val="center"/>
                    <w:rPr>
                      <w:rFonts w:hint="eastAsia" w:eastAsia="宋体"/>
                      <w:color w:val="auto"/>
                      <w:lang w:eastAsia="zh-CN"/>
                    </w:rPr>
                  </w:pPr>
                  <w:r>
                    <w:rPr>
                      <w:rFonts w:hint="eastAsia"/>
                      <w:color w:val="auto"/>
                    </w:rPr>
                    <w:t>正常通风换气气次数不少于 6次/小时，事故换气次数不少于12次/小时，用于改善工作环境</w:t>
                  </w:r>
                </w:p>
              </w:tc>
              <w:tc>
                <w:tcPr>
                  <w:tcW w:w="2168" w:type="dxa"/>
                  <w:vMerge w:val="restart"/>
                  <w:noWrap w:val="0"/>
                  <w:vAlign w:val="center"/>
                </w:tcPr>
                <w:p w14:paraId="15E1FF52">
                  <w:pPr>
                    <w:pStyle w:val="24"/>
                    <w:bidi w:val="0"/>
                    <w:jc w:val="center"/>
                    <w:rPr>
                      <w:color w:val="auto"/>
                    </w:rPr>
                  </w:pPr>
                  <w:r>
                    <w:rPr>
                      <w:color w:val="auto"/>
                    </w:rPr>
                    <w:t>《大气污染物综合排放标准》(GB16297-1996)中表2标准</w:t>
                  </w:r>
                </w:p>
              </w:tc>
              <w:tc>
                <w:tcPr>
                  <w:tcW w:w="1011" w:type="dxa"/>
                  <w:vMerge w:val="restart"/>
                  <w:noWrap w:val="0"/>
                  <w:vAlign w:val="center"/>
                </w:tcPr>
                <w:p w14:paraId="30E4577E">
                  <w:pPr>
                    <w:pStyle w:val="24"/>
                    <w:bidi w:val="0"/>
                    <w:jc w:val="center"/>
                    <w:rPr>
                      <w:rFonts w:hint="eastAsia" w:eastAsia="宋体"/>
                      <w:color w:val="auto"/>
                      <w:lang w:eastAsia="zh-CN"/>
                    </w:rPr>
                  </w:pPr>
                  <w:r>
                    <w:rPr>
                      <w:color w:val="auto"/>
                    </w:rPr>
                    <w:t>4mg/m</w:t>
                  </w:r>
                  <w:r>
                    <w:rPr>
                      <w:rFonts w:hint="eastAsia"/>
                      <w:color w:val="auto"/>
                      <w:vertAlign w:val="superscript"/>
                      <w:lang w:val="en-US" w:eastAsia="zh-CN"/>
                    </w:rPr>
                    <w:t>3</w:t>
                  </w:r>
                </w:p>
              </w:tc>
              <w:tc>
                <w:tcPr>
                  <w:tcW w:w="926" w:type="dxa"/>
                  <w:noWrap w:val="0"/>
                  <w:vAlign w:val="center"/>
                </w:tcPr>
                <w:p w14:paraId="73C77492">
                  <w:pPr>
                    <w:pStyle w:val="24"/>
                    <w:bidi w:val="0"/>
                    <w:ind w:firstLine="0" w:firstLineChars="0"/>
                    <w:jc w:val="center"/>
                    <w:rPr>
                      <w:rFonts w:hint="default"/>
                      <w:color w:val="auto"/>
                      <w:lang w:val="en-US"/>
                    </w:rPr>
                  </w:pPr>
                  <w:r>
                    <w:rPr>
                      <w:rFonts w:hint="eastAsia"/>
                      <w:color w:val="auto"/>
                      <w:lang w:val="en-US" w:eastAsia="zh-CN"/>
                    </w:rPr>
                    <w:t>0.035</w:t>
                  </w:r>
                </w:p>
              </w:tc>
            </w:tr>
            <w:tr w14:paraId="54B2BE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38" w:hRule="atLeast"/>
              </w:trPr>
              <w:tc>
                <w:tcPr>
                  <w:tcW w:w="632" w:type="dxa"/>
                  <w:noWrap w:val="0"/>
                  <w:vAlign w:val="center"/>
                </w:tcPr>
                <w:p w14:paraId="2F3CE109">
                  <w:pPr>
                    <w:pStyle w:val="24"/>
                    <w:bidi w:val="0"/>
                    <w:ind w:firstLine="0" w:firstLineChars="0"/>
                    <w:jc w:val="center"/>
                    <w:rPr>
                      <w:color w:val="auto"/>
                    </w:rPr>
                  </w:pPr>
                  <w:r>
                    <w:rPr>
                      <w:rFonts w:hint="eastAsia"/>
                      <w:color w:val="auto"/>
                      <w:lang w:val="en-US" w:eastAsia="zh-CN"/>
                    </w:rPr>
                    <w:t>2</w:t>
                  </w:r>
                </w:p>
              </w:tc>
              <w:tc>
                <w:tcPr>
                  <w:tcW w:w="675" w:type="dxa"/>
                  <w:noWrap w:val="0"/>
                  <w:vAlign w:val="center"/>
                </w:tcPr>
                <w:p w14:paraId="4D27B155">
                  <w:pPr>
                    <w:pStyle w:val="24"/>
                    <w:bidi w:val="0"/>
                    <w:ind w:firstLine="0" w:firstLineChars="0"/>
                    <w:jc w:val="center"/>
                    <w:rPr>
                      <w:color w:val="auto"/>
                    </w:rPr>
                  </w:pPr>
                  <w:r>
                    <w:rPr>
                      <w:color w:val="auto"/>
                    </w:rPr>
                    <w:t>G</w:t>
                  </w:r>
                  <w:r>
                    <w:rPr>
                      <w:rFonts w:hint="eastAsia"/>
                      <w:color w:val="auto"/>
                      <w:lang w:val="en-US" w:eastAsia="zh-CN"/>
                    </w:rPr>
                    <w:t>2</w:t>
                  </w:r>
                </w:p>
              </w:tc>
              <w:tc>
                <w:tcPr>
                  <w:tcW w:w="1024" w:type="dxa"/>
                  <w:noWrap w:val="0"/>
                  <w:vAlign w:val="center"/>
                </w:tcPr>
                <w:p w14:paraId="621F6162">
                  <w:pPr>
                    <w:pStyle w:val="24"/>
                    <w:bidi w:val="0"/>
                    <w:ind w:firstLine="0" w:firstLineChars="0"/>
                    <w:jc w:val="center"/>
                    <w:rPr>
                      <w:rFonts w:hint="eastAsia"/>
                      <w:color w:val="auto"/>
                      <w:lang w:val="en-US" w:eastAsia="zh-CN"/>
                    </w:rPr>
                  </w:pPr>
                  <w:r>
                    <w:rPr>
                      <w:rFonts w:hint="eastAsia"/>
                      <w:color w:val="auto"/>
                      <w:lang w:val="en-US" w:eastAsia="zh-CN"/>
                    </w:rPr>
                    <w:t>充装站</w:t>
                  </w:r>
                </w:p>
              </w:tc>
              <w:tc>
                <w:tcPr>
                  <w:tcW w:w="764" w:type="dxa"/>
                  <w:vMerge w:val="continue"/>
                  <w:noWrap w:val="0"/>
                  <w:vAlign w:val="center"/>
                </w:tcPr>
                <w:p w14:paraId="13AECDA9">
                  <w:pPr>
                    <w:pStyle w:val="24"/>
                    <w:bidi w:val="0"/>
                    <w:jc w:val="center"/>
                    <w:rPr>
                      <w:color w:val="auto"/>
                    </w:rPr>
                  </w:pPr>
                </w:p>
              </w:tc>
              <w:tc>
                <w:tcPr>
                  <w:tcW w:w="1458" w:type="dxa"/>
                  <w:vMerge w:val="continue"/>
                  <w:noWrap w:val="0"/>
                  <w:vAlign w:val="center"/>
                </w:tcPr>
                <w:p w14:paraId="58839D91">
                  <w:pPr>
                    <w:pStyle w:val="24"/>
                    <w:bidi w:val="0"/>
                    <w:jc w:val="center"/>
                    <w:rPr>
                      <w:rFonts w:hint="eastAsia"/>
                      <w:color w:val="auto"/>
                    </w:rPr>
                  </w:pPr>
                </w:p>
              </w:tc>
              <w:tc>
                <w:tcPr>
                  <w:tcW w:w="2168" w:type="dxa"/>
                  <w:vMerge w:val="continue"/>
                  <w:noWrap w:val="0"/>
                  <w:vAlign w:val="center"/>
                </w:tcPr>
                <w:p w14:paraId="411E347E">
                  <w:pPr>
                    <w:pStyle w:val="24"/>
                    <w:bidi w:val="0"/>
                    <w:jc w:val="center"/>
                    <w:rPr>
                      <w:color w:val="auto"/>
                    </w:rPr>
                  </w:pPr>
                </w:p>
              </w:tc>
              <w:tc>
                <w:tcPr>
                  <w:tcW w:w="1011" w:type="dxa"/>
                  <w:vMerge w:val="continue"/>
                  <w:noWrap w:val="0"/>
                  <w:vAlign w:val="center"/>
                </w:tcPr>
                <w:p w14:paraId="08D458EE">
                  <w:pPr>
                    <w:pStyle w:val="24"/>
                    <w:bidi w:val="0"/>
                    <w:jc w:val="center"/>
                    <w:rPr>
                      <w:color w:val="auto"/>
                    </w:rPr>
                  </w:pPr>
                </w:p>
              </w:tc>
              <w:tc>
                <w:tcPr>
                  <w:tcW w:w="926" w:type="dxa"/>
                  <w:noWrap w:val="0"/>
                  <w:vAlign w:val="center"/>
                </w:tcPr>
                <w:p w14:paraId="2004D63A">
                  <w:pPr>
                    <w:pStyle w:val="24"/>
                    <w:bidi w:val="0"/>
                    <w:ind w:firstLine="0" w:firstLineChars="0"/>
                    <w:jc w:val="center"/>
                    <w:rPr>
                      <w:rFonts w:hint="default"/>
                      <w:color w:val="auto"/>
                      <w:lang w:val="en-US" w:eastAsia="zh-CN"/>
                    </w:rPr>
                  </w:pPr>
                  <w:r>
                    <w:rPr>
                      <w:rFonts w:hint="eastAsia"/>
                      <w:color w:val="auto"/>
                      <w:lang w:val="en-US" w:eastAsia="zh-CN"/>
                    </w:rPr>
                    <w:t>0.050</w:t>
                  </w:r>
                </w:p>
              </w:tc>
            </w:tr>
            <w:tr w14:paraId="3C4FF1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7732" w:type="dxa"/>
                  <w:gridSpan w:val="7"/>
                  <w:noWrap w:val="0"/>
                  <w:vAlign w:val="center"/>
                </w:tcPr>
                <w:p w14:paraId="6CCDEC43">
                  <w:pPr>
                    <w:pStyle w:val="24"/>
                    <w:bidi w:val="0"/>
                    <w:jc w:val="center"/>
                    <w:rPr>
                      <w:rFonts w:hint="eastAsia" w:eastAsia="宋体"/>
                      <w:color w:val="auto"/>
                      <w:lang w:val="en-US" w:eastAsia="zh-CN"/>
                    </w:rPr>
                  </w:pPr>
                  <w:r>
                    <w:rPr>
                      <w:rFonts w:hint="eastAsia"/>
                      <w:color w:val="auto"/>
                      <w:lang w:val="en-US" w:eastAsia="zh-CN"/>
                    </w:rPr>
                    <w:t>总计</w:t>
                  </w:r>
                </w:p>
              </w:tc>
              <w:tc>
                <w:tcPr>
                  <w:tcW w:w="926" w:type="dxa"/>
                  <w:noWrap w:val="0"/>
                  <w:vAlign w:val="center"/>
                </w:tcPr>
                <w:p w14:paraId="5E12C926">
                  <w:pPr>
                    <w:pStyle w:val="24"/>
                    <w:bidi w:val="0"/>
                    <w:ind w:firstLine="0" w:firstLineChars="0"/>
                    <w:jc w:val="center"/>
                    <w:rPr>
                      <w:rFonts w:hint="default"/>
                      <w:color w:val="auto"/>
                      <w:lang w:val="en-US" w:eastAsia="zh-CN"/>
                    </w:rPr>
                  </w:pPr>
                  <w:r>
                    <w:rPr>
                      <w:rFonts w:hint="eastAsia"/>
                      <w:color w:val="auto"/>
                      <w:lang w:val="en-US" w:eastAsia="zh-CN"/>
                    </w:rPr>
                    <w:t>0.085</w:t>
                  </w:r>
                </w:p>
              </w:tc>
            </w:tr>
          </w:tbl>
          <w:p w14:paraId="79E9750D">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废水</w:t>
            </w:r>
          </w:p>
          <w:p w14:paraId="5A41E917">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本项目排水主要为生活污水</w:t>
            </w:r>
            <w:r>
              <w:rPr>
                <w:rFonts w:hint="eastAsia" w:cs="Times New Roman"/>
                <w:color w:val="auto"/>
                <w:lang w:eastAsia="zh-CN"/>
              </w:rPr>
              <w:t>，</w:t>
            </w:r>
            <w:r>
              <w:rPr>
                <w:rFonts w:hint="eastAsia" w:cs="Times New Roman"/>
                <w:color w:val="auto"/>
                <w:lang w:val="en-US" w:eastAsia="zh-CN"/>
              </w:rPr>
              <w:t>生活废水经化粪池预处理后，排入园区管网。</w:t>
            </w:r>
          </w:p>
          <w:p w14:paraId="22AEC87C">
            <w:pPr>
              <w:pStyle w:val="44"/>
              <w:bidi w:val="0"/>
              <w:rPr>
                <w:rFonts w:hint="default" w:ascii="Times New Roman" w:hAnsi="Times New Roman" w:cs="Times New Roman"/>
                <w:b/>
                <w:bCs/>
                <w:color w:val="auto"/>
                <w:sz w:val="24"/>
                <w:lang w:val="en-US" w:eastAsia="zh-CN"/>
              </w:rPr>
            </w:pPr>
            <w:r>
              <w:rPr>
                <w:rFonts w:hint="eastAsia" w:cs="Times New Roman"/>
                <w:b/>
                <w:bCs/>
                <w:color w:val="auto"/>
                <w:sz w:val="24"/>
                <w:lang w:val="en-US" w:eastAsia="zh-CN"/>
              </w:rPr>
              <w:t>（1）废水污染源分析</w:t>
            </w:r>
          </w:p>
          <w:p w14:paraId="3DF240AE">
            <w:pPr>
              <w:pStyle w:val="44"/>
              <w:bidi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生活污水排放量为</w:t>
            </w:r>
            <w:r>
              <w:rPr>
                <w:rFonts w:hint="eastAsia" w:cs="Times New Roman"/>
                <w:color w:val="auto"/>
                <w:sz w:val="24"/>
                <w:lang w:val="en-US" w:eastAsia="zh-CN"/>
              </w:rPr>
              <w:t>200</w:t>
            </w:r>
            <w:r>
              <w:rPr>
                <w:rFonts w:hint="default" w:ascii="Times New Roman" w:hAnsi="Times New Roman" w:cs="Times New Roman"/>
                <w:color w:val="auto"/>
                <w:sz w:val="24"/>
                <w:lang w:val="en-US" w:eastAsia="zh-CN"/>
              </w:rPr>
              <w:t>m³/a，经类比调查，其污染物为COD、BOD</w:t>
            </w:r>
            <w:r>
              <w:rPr>
                <w:rFonts w:hint="default" w:ascii="Times New Roman" w:hAnsi="Times New Roman" w:cs="Times New Roman"/>
                <w:color w:val="auto"/>
                <w:sz w:val="24"/>
                <w:vertAlign w:val="subscript"/>
                <w:lang w:val="en-US" w:eastAsia="zh-CN"/>
              </w:rPr>
              <w:t>5</w:t>
            </w:r>
            <w:r>
              <w:rPr>
                <w:rFonts w:hint="default" w:ascii="Times New Roman" w:hAnsi="Times New Roman" w:cs="Times New Roman"/>
                <w:color w:val="auto"/>
                <w:sz w:val="24"/>
                <w:lang w:val="en-US" w:eastAsia="zh-CN"/>
              </w:rPr>
              <w:t>、SS、NH</w:t>
            </w:r>
            <w:r>
              <w:rPr>
                <w:rFonts w:hint="default" w:ascii="Times New Roman" w:hAnsi="Times New Roman" w:cs="Times New Roman"/>
                <w:color w:val="auto"/>
                <w:sz w:val="24"/>
                <w:vertAlign w:val="subscript"/>
                <w:lang w:val="en-US" w:eastAsia="zh-CN"/>
              </w:rPr>
              <w:t>3</w:t>
            </w:r>
            <w:r>
              <w:rPr>
                <w:rFonts w:hint="default" w:ascii="Times New Roman" w:hAnsi="Times New Roman" w:cs="Times New Roman"/>
                <w:color w:val="auto"/>
                <w:sz w:val="24"/>
                <w:lang w:val="en-US" w:eastAsia="zh-CN"/>
              </w:rPr>
              <w:t>-N、动植物油等。生活污水经</w:t>
            </w:r>
            <w:r>
              <w:rPr>
                <w:rFonts w:hint="eastAsia" w:cs="Times New Roman"/>
                <w:color w:val="auto"/>
                <w:sz w:val="24"/>
                <w:lang w:val="en-US" w:eastAsia="zh-CN"/>
              </w:rPr>
              <w:t>5</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化粪池沉淀降解后，定期清运至</w:t>
            </w:r>
            <w:r>
              <w:rPr>
                <w:rFonts w:hint="eastAsia" w:cs="Times New Roman"/>
                <w:color w:val="auto"/>
                <w:sz w:val="24"/>
                <w:lang w:val="en-US" w:eastAsia="zh-CN"/>
              </w:rPr>
              <w:t>园区</w:t>
            </w:r>
            <w:r>
              <w:rPr>
                <w:rFonts w:hint="default" w:ascii="Times New Roman" w:hAnsi="Times New Roman" w:cs="Times New Roman"/>
                <w:color w:val="auto"/>
                <w:sz w:val="24"/>
                <w:lang w:val="en-US" w:eastAsia="zh-CN"/>
              </w:rPr>
              <w:t>污水处理厂。本项目生活污水产排情况详见表4</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w:t>
            </w:r>
          </w:p>
          <w:p w14:paraId="356D90E6">
            <w:pPr>
              <w:pStyle w:val="25"/>
              <w:bidi w:val="0"/>
              <w:rPr>
                <w:rFonts w:hint="default"/>
                <w:color w:val="auto"/>
                <w:lang w:val="en-US" w:eastAsia="zh-CN"/>
              </w:rPr>
            </w:pPr>
            <w:r>
              <w:rPr>
                <w:rFonts w:hint="default"/>
                <w:color w:val="auto"/>
                <w:lang w:val="en-US" w:eastAsia="zh-CN"/>
              </w:rPr>
              <w:t>表</w:t>
            </w:r>
            <w:r>
              <w:rPr>
                <w:rFonts w:hint="eastAsia"/>
                <w:color w:val="auto"/>
                <w:lang w:val="en-US" w:eastAsia="zh-CN"/>
              </w:rPr>
              <w:t>4-8</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 xml:space="preserve"> 废水污染物产生及排放情况统计表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881"/>
              <w:gridCol w:w="1189"/>
              <w:gridCol w:w="974"/>
              <w:gridCol w:w="965"/>
              <w:gridCol w:w="830"/>
              <w:gridCol w:w="1189"/>
              <w:gridCol w:w="1438"/>
            </w:tblGrid>
            <w:tr w14:paraId="52C23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restart"/>
                  <w:noWrap w:val="0"/>
                  <w:vAlign w:val="center"/>
                </w:tcPr>
                <w:p w14:paraId="01C6D8D5">
                  <w:pPr>
                    <w:pStyle w:val="24"/>
                    <w:bidi w:val="0"/>
                    <w:jc w:val="center"/>
                    <w:rPr>
                      <w:rFonts w:hint="default"/>
                      <w:b/>
                      <w:bCs/>
                      <w:color w:val="auto"/>
                    </w:rPr>
                  </w:pPr>
                  <w:r>
                    <w:rPr>
                      <w:rFonts w:hint="default"/>
                      <w:b/>
                      <w:bCs/>
                      <w:color w:val="auto"/>
                      <w:lang w:val="en-US" w:eastAsia="zh-CN"/>
                    </w:rPr>
                    <w:t>废水量（m</w:t>
                  </w:r>
                  <w:r>
                    <w:rPr>
                      <w:rFonts w:hint="default"/>
                      <w:b/>
                      <w:bCs/>
                      <w:color w:val="auto"/>
                      <w:vertAlign w:val="superscript"/>
                      <w:lang w:val="en-US" w:eastAsia="zh-CN"/>
                    </w:rPr>
                    <w:t>3</w:t>
                  </w:r>
                  <w:r>
                    <w:rPr>
                      <w:rFonts w:hint="default"/>
                      <w:b/>
                      <w:bCs/>
                      <w:color w:val="auto"/>
                      <w:lang w:val="en-US" w:eastAsia="zh-CN"/>
                    </w:rPr>
                    <w:t>/a）</w:t>
                  </w:r>
                </w:p>
              </w:tc>
              <w:tc>
                <w:tcPr>
                  <w:tcW w:w="883" w:type="dxa"/>
                  <w:vMerge w:val="restart"/>
                  <w:noWrap w:val="0"/>
                  <w:vAlign w:val="center"/>
                </w:tcPr>
                <w:p w14:paraId="5026DF4A">
                  <w:pPr>
                    <w:pStyle w:val="24"/>
                    <w:bidi w:val="0"/>
                    <w:jc w:val="center"/>
                    <w:rPr>
                      <w:rFonts w:hint="default"/>
                      <w:b/>
                      <w:bCs/>
                      <w:color w:val="auto"/>
                    </w:rPr>
                  </w:pPr>
                  <w:r>
                    <w:rPr>
                      <w:rFonts w:hint="default"/>
                      <w:b/>
                      <w:bCs/>
                      <w:color w:val="auto"/>
                      <w:lang w:val="en-US" w:eastAsia="zh-CN"/>
                    </w:rPr>
                    <w:t>污染物名称</w:t>
                  </w:r>
                </w:p>
              </w:tc>
              <w:tc>
                <w:tcPr>
                  <w:tcW w:w="2170" w:type="dxa"/>
                  <w:gridSpan w:val="2"/>
                  <w:noWrap w:val="0"/>
                  <w:vAlign w:val="center"/>
                </w:tcPr>
                <w:p w14:paraId="7DF0B778">
                  <w:pPr>
                    <w:pStyle w:val="24"/>
                    <w:bidi w:val="0"/>
                    <w:jc w:val="center"/>
                    <w:rPr>
                      <w:rFonts w:hint="default"/>
                      <w:b/>
                      <w:bCs/>
                      <w:color w:val="auto"/>
                    </w:rPr>
                  </w:pPr>
                  <w:r>
                    <w:rPr>
                      <w:rFonts w:hint="default"/>
                      <w:b/>
                      <w:bCs/>
                      <w:color w:val="auto"/>
                      <w:lang w:val="en-US" w:eastAsia="zh-CN"/>
                    </w:rPr>
                    <w:t>污染物产生量</w:t>
                  </w:r>
                </w:p>
              </w:tc>
              <w:tc>
                <w:tcPr>
                  <w:tcW w:w="984" w:type="dxa"/>
                  <w:vMerge w:val="restart"/>
                  <w:noWrap w:val="0"/>
                  <w:vAlign w:val="center"/>
                </w:tcPr>
                <w:p w14:paraId="47BF9873">
                  <w:pPr>
                    <w:pStyle w:val="24"/>
                    <w:bidi w:val="0"/>
                    <w:jc w:val="center"/>
                    <w:rPr>
                      <w:rFonts w:hint="default"/>
                      <w:b/>
                      <w:bCs/>
                      <w:color w:val="auto"/>
                      <w:lang w:val="en-US" w:eastAsia="zh-CN"/>
                    </w:rPr>
                  </w:pPr>
                  <w:r>
                    <w:rPr>
                      <w:rFonts w:hint="default"/>
                      <w:b/>
                      <w:bCs/>
                      <w:color w:val="auto"/>
                      <w:lang w:val="en-US" w:eastAsia="zh-CN"/>
                    </w:rPr>
                    <w:t>治理</w:t>
                  </w:r>
                </w:p>
                <w:p w14:paraId="4E6CF49A">
                  <w:pPr>
                    <w:pStyle w:val="24"/>
                    <w:bidi w:val="0"/>
                    <w:jc w:val="center"/>
                    <w:rPr>
                      <w:rFonts w:hint="default"/>
                      <w:b/>
                      <w:bCs/>
                      <w:color w:val="auto"/>
                    </w:rPr>
                  </w:pPr>
                  <w:r>
                    <w:rPr>
                      <w:rFonts w:hint="default"/>
                      <w:b/>
                      <w:bCs/>
                      <w:color w:val="auto"/>
                      <w:lang w:val="en-US" w:eastAsia="zh-CN"/>
                    </w:rPr>
                    <w:t>措施</w:t>
                  </w:r>
                </w:p>
              </w:tc>
              <w:tc>
                <w:tcPr>
                  <w:tcW w:w="838" w:type="dxa"/>
                  <w:vMerge w:val="restart"/>
                  <w:noWrap w:val="0"/>
                  <w:vAlign w:val="center"/>
                </w:tcPr>
                <w:p w14:paraId="07E93D52">
                  <w:pPr>
                    <w:pStyle w:val="24"/>
                    <w:bidi w:val="0"/>
                    <w:jc w:val="center"/>
                    <w:rPr>
                      <w:rFonts w:hint="default"/>
                      <w:b/>
                      <w:bCs/>
                      <w:color w:val="auto"/>
                    </w:rPr>
                  </w:pPr>
                  <w:r>
                    <w:rPr>
                      <w:rFonts w:hint="default"/>
                      <w:b/>
                      <w:bCs/>
                      <w:color w:val="auto"/>
                      <w:lang w:val="en-US" w:eastAsia="zh-CN"/>
                    </w:rPr>
                    <w:t>处理效率</w:t>
                  </w:r>
                </w:p>
              </w:tc>
              <w:tc>
                <w:tcPr>
                  <w:tcW w:w="2648" w:type="dxa"/>
                  <w:gridSpan w:val="2"/>
                  <w:noWrap w:val="0"/>
                  <w:vAlign w:val="center"/>
                </w:tcPr>
                <w:p w14:paraId="721688D7">
                  <w:pPr>
                    <w:pStyle w:val="24"/>
                    <w:bidi w:val="0"/>
                    <w:jc w:val="center"/>
                    <w:rPr>
                      <w:rFonts w:hint="default"/>
                      <w:b/>
                      <w:bCs/>
                      <w:color w:val="auto"/>
                    </w:rPr>
                  </w:pPr>
                  <w:r>
                    <w:rPr>
                      <w:rFonts w:hint="default"/>
                      <w:b/>
                      <w:bCs/>
                      <w:color w:val="auto"/>
                      <w:lang w:val="en-US" w:eastAsia="zh-CN"/>
                    </w:rPr>
                    <w:t>污染物排放量</w:t>
                  </w:r>
                </w:p>
              </w:tc>
            </w:tr>
            <w:tr w14:paraId="307B9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163" w:type="dxa"/>
                  <w:vMerge w:val="continue"/>
                  <w:noWrap w:val="0"/>
                  <w:vAlign w:val="center"/>
                </w:tcPr>
                <w:p w14:paraId="4621D1F0">
                  <w:pPr>
                    <w:pStyle w:val="24"/>
                    <w:bidi w:val="0"/>
                    <w:jc w:val="center"/>
                    <w:rPr>
                      <w:rFonts w:hint="default"/>
                      <w:b/>
                      <w:bCs/>
                      <w:color w:val="auto"/>
                    </w:rPr>
                  </w:pPr>
                </w:p>
              </w:tc>
              <w:tc>
                <w:tcPr>
                  <w:tcW w:w="883" w:type="dxa"/>
                  <w:vMerge w:val="continue"/>
                  <w:noWrap w:val="0"/>
                  <w:vAlign w:val="center"/>
                </w:tcPr>
                <w:p w14:paraId="109F6B31">
                  <w:pPr>
                    <w:pStyle w:val="24"/>
                    <w:bidi w:val="0"/>
                    <w:jc w:val="center"/>
                    <w:rPr>
                      <w:rFonts w:hint="default"/>
                      <w:b/>
                      <w:bCs/>
                      <w:color w:val="auto"/>
                    </w:rPr>
                  </w:pPr>
                </w:p>
              </w:tc>
              <w:tc>
                <w:tcPr>
                  <w:tcW w:w="1192" w:type="dxa"/>
                  <w:noWrap w:val="0"/>
                  <w:vAlign w:val="center"/>
                </w:tcPr>
                <w:p w14:paraId="1EE401C0">
                  <w:pPr>
                    <w:pStyle w:val="24"/>
                    <w:bidi w:val="0"/>
                    <w:jc w:val="center"/>
                    <w:rPr>
                      <w:rFonts w:hint="default"/>
                      <w:b/>
                      <w:bCs/>
                      <w:color w:val="auto"/>
                    </w:rPr>
                  </w:pPr>
                  <w:r>
                    <w:rPr>
                      <w:rFonts w:hint="default"/>
                      <w:b/>
                      <w:bCs/>
                      <w:color w:val="auto"/>
                      <w:lang w:val="en-US" w:eastAsia="zh-CN"/>
                    </w:rPr>
                    <w:t>浓度（mg/L）</w:t>
                  </w:r>
                </w:p>
              </w:tc>
              <w:tc>
                <w:tcPr>
                  <w:tcW w:w="978" w:type="dxa"/>
                  <w:noWrap w:val="0"/>
                  <w:vAlign w:val="center"/>
                </w:tcPr>
                <w:p w14:paraId="30F40FBB">
                  <w:pPr>
                    <w:pStyle w:val="24"/>
                    <w:bidi w:val="0"/>
                    <w:jc w:val="center"/>
                    <w:rPr>
                      <w:rFonts w:hint="default"/>
                      <w:b/>
                      <w:bCs/>
                      <w:color w:val="auto"/>
                    </w:rPr>
                  </w:pPr>
                  <w:r>
                    <w:rPr>
                      <w:rFonts w:hint="default"/>
                      <w:b/>
                      <w:bCs/>
                      <w:color w:val="auto"/>
                      <w:lang w:val="en-US" w:eastAsia="zh-CN"/>
                    </w:rPr>
                    <w:t>产生量（t/a）</w:t>
                  </w:r>
                </w:p>
              </w:tc>
              <w:tc>
                <w:tcPr>
                  <w:tcW w:w="984" w:type="dxa"/>
                  <w:vMerge w:val="continue"/>
                  <w:noWrap w:val="0"/>
                  <w:vAlign w:val="center"/>
                </w:tcPr>
                <w:p w14:paraId="5F6055C2">
                  <w:pPr>
                    <w:pStyle w:val="24"/>
                    <w:bidi w:val="0"/>
                    <w:jc w:val="center"/>
                    <w:rPr>
                      <w:rFonts w:hint="default"/>
                      <w:b/>
                      <w:bCs/>
                      <w:color w:val="auto"/>
                    </w:rPr>
                  </w:pPr>
                </w:p>
              </w:tc>
              <w:tc>
                <w:tcPr>
                  <w:tcW w:w="838" w:type="dxa"/>
                  <w:vMerge w:val="continue"/>
                  <w:noWrap w:val="0"/>
                  <w:vAlign w:val="center"/>
                </w:tcPr>
                <w:p w14:paraId="24325A9D">
                  <w:pPr>
                    <w:pStyle w:val="24"/>
                    <w:bidi w:val="0"/>
                    <w:jc w:val="center"/>
                    <w:rPr>
                      <w:rFonts w:hint="default"/>
                      <w:b/>
                      <w:bCs/>
                      <w:color w:val="auto"/>
                    </w:rPr>
                  </w:pPr>
                </w:p>
              </w:tc>
              <w:tc>
                <w:tcPr>
                  <w:tcW w:w="1192" w:type="dxa"/>
                  <w:noWrap w:val="0"/>
                  <w:vAlign w:val="center"/>
                </w:tcPr>
                <w:p w14:paraId="07079681">
                  <w:pPr>
                    <w:pStyle w:val="24"/>
                    <w:bidi w:val="0"/>
                    <w:jc w:val="center"/>
                    <w:rPr>
                      <w:rFonts w:hint="default"/>
                      <w:b/>
                      <w:bCs/>
                      <w:color w:val="auto"/>
                      <w:lang w:val="en-US" w:eastAsia="zh-CN"/>
                    </w:rPr>
                  </w:pPr>
                  <w:r>
                    <w:rPr>
                      <w:rFonts w:hint="default"/>
                      <w:b/>
                      <w:bCs/>
                      <w:color w:val="auto"/>
                      <w:lang w:val="en-US" w:eastAsia="zh-CN"/>
                    </w:rPr>
                    <w:t>浓度</w:t>
                  </w:r>
                </w:p>
                <w:p w14:paraId="1B249351">
                  <w:pPr>
                    <w:pStyle w:val="24"/>
                    <w:bidi w:val="0"/>
                    <w:jc w:val="center"/>
                    <w:rPr>
                      <w:rFonts w:hint="default"/>
                      <w:b/>
                      <w:bCs/>
                      <w:color w:val="auto"/>
                    </w:rPr>
                  </w:pPr>
                  <w:r>
                    <w:rPr>
                      <w:rFonts w:hint="default"/>
                      <w:b/>
                      <w:bCs/>
                      <w:color w:val="auto"/>
                      <w:lang w:val="en-US" w:eastAsia="zh-CN"/>
                    </w:rPr>
                    <w:t>（mg/L）</w:t>
                  </w:r>
                </w:p>
              </w:tc>
              <w:tc>
                <w:tcPr>
                  <w:tcW w:w="1456" w:type="dxa"/>
                  <w:noWrap w:val="0"/>
                  <w:vAlign w:val="center"/>
                </w:tcPr>
                <w:p w14:paraId="2EB5157E">
                  <w:pPr>
                    <w:pStyle w:val="24"/>
                    <w:bidi w:val="0"/>
                    <w:jc w:val="center"/>
                    <w:rPr>
                      <w:rFonts w:hint="default"/>
                      <w:b/>
                      <w:bCs/>
                      <w:color w:val="auto"/>
                      <w:lang w:val="en-US" w:eastAsia="zh-CN"/>
                    </w:rPr>
                  </w:pPr>
                  <w:r>
                    <w:rPr>
                      <w:rFonts w:hint="default"/>
                      <w:b/>
                      <w:bCs/>
                      <w:color w:val="auto"/>
                      <w:lang w:val="en-US" w:eastAsia="zh-CN"/>
                    </w:rPr>
                    <w:t>排放量</w:t>
                  </w:r>
                </w:p>
                <w:p w14:paraId="4F9D6EAD">
                  <w:pPr>
                    <w:pStyle w:val="24"/>
                    <w:bidi w:val="0"/>
                    <w:jc w:val="center"/>
                    <w:rPr>
                      <w:rFonts w:hint="default"/>
                      <w:b/>
                      <w:bCs/>
                      <w:color w:val="auto"/>
                      <w:lang w:val="en-US" w:eastAsia="zh-CN"/>
                    </w:rPr>
                  </w:pPr>
                  <w:r>
                    <w:rPr>
                      <w:rFonts w:hint="default"/>
                      <w:b/>
                      <w:bCs/>
                      <w:color w:val="auto"/>
                      <w:lang w:val="en-US" w:eastAsia="zh-CN"/>
                    </w:rPr>
                    <w:t>（t/a）</w:t>
                  </w:r>
                </w:p>
              </w:tc>
            </w:tr>
            <w:tr w14:paraId="57F58C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restart"/>
                  <w:noWrap w:val="0"/>
                  <w:vAlign w:val="center"/>
                </w:tcPr>
                <w:p w14:paraId="7CFEDF4C">
                  <w:pPr>
                    <w:pStyle w:val="24"/>
                    <w:bidi w:val="0"/>
                    <w:jc w:val="center"/>
                    <w:rPr>
                      <w:rFonts w:hint="default"/>
                      <w:color w:val="auto"/>
                      <w:lang w:val="en-US"/>
                    </w:rPr>
                  </w:pPr>
                  <w:r>
                    <w:rPr>
                      <w:rFonts w:hint="eastAsia"/>
                      <w:color w:val="auto"/>
                      <w:lang w:val="en-US" w:eastAsia="zh-CN"/>
                    </w:rPr>
                    <w:t>200</w:t>
                  </w:r>
                </w:p>
              </w:tc>
              <w:tc>
                <w:tcPr>
                  <w:tcW w:w="883" w:type="dxa"/>
                  <w:noWrap w:val="0"/>
                  <w:vAlign w:val="center"/>
                </w:tcPr>
                <w:p w14:paraId="01C3272B">
                  <w:pPr>
                    <w:pStyle w:val="24"/>
                    <w:bidi w:val="0"/>
                    <w:jc w:val="center"/>
                    <w:rPr>
                      <w:rFonts w:hint="default"/>
                      <w:color w:val="auto"/>
                    </w:rPr>
                  </w:pPr>
                  <w:r>
                    <w:rPr>
                      <w:rFonts w:hint="default"/>
                      <w:color w:val="auto"/>
                      <w:lang w:val="en-US" w:eastAsia="zh-CN"/>
                    </w:rPr>
                    <w:t>COD</w:t>
                  </w:r>
                </w:p>
              </w:tc>
              <w:tc>
                <w:tcPr>
                  <w:tcW w:w="1192" w:type="dxa"/>
                  <w:noWrap w:val="0"/>
                  <w:vAlign w:val="center"/>
                </w:tcPr>
                <w:p w14:paraId="6B3098FF">
                  <w:pPr>
                    <w:pStyle w:val="24"/>
                    <w:bidi w:val="0"/>
                    <w:jc w:val="center"/>
                    <w:rPr>
                      <w:rFonts w:hint="default"/>
                      <w:color w:val="auto"/>
                    </w:rPr>
                  </w:pPr>
                  <w:r>
                    <w:rPr>
                      <w:rFonts w:hint="default"/>
                      <w:color w:val="auto"/>
                      <w:lang w:val="en-US" w:eastAsia="zh-CN"/>
                    </w:rPr>
                    <w:t>350</w:t>
                  </w:r>
                </w:p>
              </w:tc>
              <w:tc>
                <w:tcPr>
                  <w:tcW w:w="978" w:type="dxa"/>
                  <w:noWrap w:val="0"/>
                  <w:vAlign w:val="center"/>
                </w:tcPr>
                <w:p w14:paraId="0ECE4FE6">
                  <w:pPr>
                    <w:pStyle w:val="24"/>
                    <w:bidi w:val="0"/>
                    <w:jc w:val="center"/>
                    <w:rPr>
                      <w:rFonts w:hint="default"/>
                      <w:color w:val="auto"/>
                      <w:lang w:val="en-US" w:eastAsia="zh-CN"/>
                    </w:rPr>
                  </w:pPr>
                  <w:r>
                    <w:rPr>
                      <w:rFonts w:hint="eastAsia"/>
                      <w:color w:val="auto"/>
                      <w:lang w:val="en-US" w:eastAsia="zh-CN"/>
                    </w:rPr>
                    <w:t>0.070</w:t>
                  </w:r>
                </w:p>
              </w:tc>
              <w:tc>
                <w:tcPr>
                  <w:tcW w:w="984" w:type="dxa"/>
                  <w:vMerge w:val="restart"/>
                  <w:noWrap w:val="0"/>
                  <w:vAlign w:val="center"/>
                </w:tcPr>
                <w:p w14:paraId="7A0BFA6C">
                  <w:pPr>
                    <w:pStyle w:val="24"/>
                    <w:bidi w:val="0"/>
                    <w:jc w:val="center"/>
                    <w:rPr>
                      <w:rFonts w:hint="default"/>
                      <w:color w:val="auto"/>
                    </w:rPr>
                  </w:pPr>
                  <w:r>
                    <w:rPr>
                      <w:rFonts w:hint="default"/>
                      <w:color w:val="auto"/>
                      <w:lang w:val="en-US" w:eastAsia="zh-CN"/>
                    </w:rPr>
                    <w:t>化粪池</w:t>
                  </w:r>
                </w:p>
              </w:tc>
              <w:tc>
                <w:tcPr>
                  <w:tcW w:w="838" w:type="dxa"/>
                  <w:noWrap w:val="0"/>
                  <w:vAlign w:val="center"/>
                </w:tcPr>
                <w:p w14:paraId="31C31D42">
                  <w:pPr>
                    <w:pStyle w:val="24"/>
                    <w:bidi w:val="0"/>
                    <w:jc w:val="center"/>
                    <w:rPr>
                      <w:rFonts w:hint="default"/>
                      <w:color w:val="auto"/>
                    </w:rPr>
                  </w:pPr>
                  <w:r>
                    <w:rPr>
                      <w:rFonts w:hint="default"/>
                      <w:color w:val="auto"/>
                      <w:lang w:val="en-US" w:eastAsia="zh-CN"/>
                    </w:rPr>
                    <w:t>14%</w:t>
                  </w:r>
                </w:p>
              </w:tc>
              <w:tc>
                <w:tcPr>
                  <w:tcW w:w="1192" w:type="dxa"/>
                  <w:noWrap w:val="0"/>
                  <w:vAlign w:val="center"/>
                </w:tcPr>
                <w:p w14:paraId="5BF28BDE">
                  <w:pPr>
                    <w:pStyle w:val="24"/>
                    <w:bidi w:val="0"/>
                    <w:jc w:val="center"/>
                    <w:rPr>
                      <w:rFonts w:hint="default"/>
                      <w:color w:val="auto"/>
                    </w:rPr>
                  </w:pPr>
                  <w:r>
                    <w:rPr>
                      <w:rFonts w:hint="default"/>
                      <w:color w:val="auto"/>
                      <w:lang w:val="en-US" w:eastAsia="zh-CN"/>
                    </w:rPr>
                    <w:t>300</w:t>
                  </w:r>
                </w:p>
              </w:tc>
              <w:tc>
                <w:tcPr>
                  <w:tcW w:w="1456" w:type="dxa"/>
                  <w:noWrap w:val="0"/>
                  <w:vAlign w:val="center"/>
                </w:tcPr>
                <w:p w14:paraId="6D9051F6">
                  <w:pPr>
                    <w:pStyle w:val="24"/>
                    <w:bidi w:val="0"/>
                    <w:jc w:val="center"/>
                    <w:rPr>
                      <w:rFonts w:hint="default" w:eastAsia="宋体"/>
                      <w:color w:val="auto"/>
                      <w:lang w:val="en-US" w:eastAsia="zh-CN"/>
                    </w:rPr>
                  </w:pPr>
                  <w:r>
                    <w:rPr>
                      <w:rFonts w:hint="eastAsia"/>
                      <w:color w:val="auto"/>
                      <w:lang w:val="en-US" w:eastAsia="zh-CN"/>
                    </w:rPr>
                    <w:t>0.060</w:t>
                  </w:r>
                </w:p>
              </w:tc>
            </w:tr>
            <w:tr w14:paraId="4E743D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14:paraId="1894E848">
                  <w:pPr>
                    <w:pStyle w:val="24"/>
                    <w:bidi w:val="0"/>
                    <w:jc w:val="center"/>
                    <w:rPr>
                      <w:rFonts w:hint="default"/>
                      <w:color w:val="auto"/>
                    </w:rPr>
                  </w:pPr>
                </w:p>
              </w:tc>
              <w:tc>
                <w:tcPr>
                  <w:tcW w:w="883" w:type="dxa"/>
                  <w:noWrap w:val="0"/>
                  <w:vAlign w:val="center"/>
                </w:tcPr>
                <w:p w14:paraId="7826F1F0">
                  <w:pPr>
                    <w:pStyle w:val="24"/>
                    <w:bidi w:val="0"/>
                    <w:jc w:val="center"/>
                    <w:rPr>
                      <w:rFonts w:hint="default"/>
                      <w:color w:val="auto"/>
                    </w:rPr>
                  </w:pPr>
                  <w:r>
                    <w:rPr>
                      <w:rFonts w:hint="default"/>
                      <w:color w:val="auto"/>
                      <w:lang w:val="en-US" w:eastAsia="zh-CN"/>
                    </w:rPr>
                    <w:t>BOD</w:t>
                  </w:r>
                  <w:r>
                    <w:rPr>
                      <w:rFonts w:hint="default"/>
                      <w:color w:val="auto"/>
                      <w:vertAlign w:val="subscript"/>
                      <w:lang w:val="en-US" w:eastAsia="zh-CN"/>
                    </w:rPr>
                    <w:t>5</w:t>
                  </w:r>
                </w:p>
              </w:tc>
              <w:tc>
                <w:tcPr>
                  <w:tcW w:w="1192" w:type="dxa"/>
                  <w:noWrap w:val="0"/>
                  <w:vAlign w:val="center"/>
                </w:tcPr>
                <w:p w14:paraId="3DBF8258">
                  <w:pPr>
                    <w:pStyle w:val="24"/>
                    <w:bidi w:val="0"/>
                    <w:jc w:val="center"/>
                    <w:rPr>
                      <w:rFonts w:hint="default"/>
                      <w:color w:val="auto"/>
                    </w:rPr>
                  </w:pPr>
                  <w:r>
                    <w:rPr>
                      <w:rFonts w:hint="default"/>
                      <w:color w:val="auto"/>
                      <w:lang w:val="en-US" w:eastAsia="zh-CN"/>
                    </w:rPr>
                    <w:t>250</w:t>
                  </w:r>
                </w:p>
              </w:tc>
              <w:tc>
                <w:tcPr>
                  <w:tcW w:w="978" w:type="dxa"/>
                  <w:noWrap w:val="0"/>
                  <w:vAlign w:val="center"/>
                </w:tcPr>
                <w:p w14:paraId="444BED49">
                  <w:pPr>
                    <w:pStyle w:val="24"/>
                    <w:bidi w:val="0"/>
                    <w:jc w:val="center"/>
                    <w:rPr>
                      <w:rFonts w:hint="default"/>
                      <w:color w:val="auto"/>
                      <w:lang w:val="en-US"/>
                    </w:rPr>
                  </w:pPr>
                  <w:r>
                    <w:rPr>
                      <w:rFonts w:hint="eastAsia"/>
                      <w:color w:val="auto"/>
                      <w:lang w:val="en-US" w:eastAsia="zh-CN"/>
                    </w:rPr>
                    <w:t>0.049</w:t>
                  </w:r>
                </w:p>
              </w:tc>
              <w:tc>
                <w:tcPr>
                  <w:tcW w:w="984" w:type="dxa"/>
                  <w:vMerge w:val="continue"/>
                  <w:noWrap w:val="0"/>
                  <w:vAlign w:val="center"/>
                </w:tcPr>
                <w:p w14:paraId="31F39665">
                  <w:pPr>
                    <w:pStyle w:val="24"/>
                    <w:bidi w:val="0"/>
                    <w:jc w:val="center"/>
                    <w:rPr>
                      <w:rFonts w:hint="default"/>
                      <w:color w:val="auto"/>
                    </w:rPr>
                  </w:pPr>
                </w:p>
              </w:tc>
              <w:tc>
                <w:tcPr>
                  <w:tcW w:w="838" w:type="dxa"/>
                  <w:noWrap w:val="0"/>
                  <w:vAlign w:val="center"/>
                </w:tcPr>
                <w:p w14:paraId="3E788A08">
                  <w:pPr>
                    <w:pStyle w:val="24"/>
                    <w:bidi w:val="0"/>
                    <w:jc w:val="center"/>
                    <w:rPr>
                      <w:rFonts w:hint="default"/>
                      <w:color w:val="auto"/>
                    </w:rPr>
                  </w:pPr>
                  <w:r>
                    <w:rPr>
                      <w:rFonts w:hint="default"/>
                      <w:color w:val="auto"/>
                      <w:lang w:val="en-US" w:eastAsia="zh-CN"/>
                    </w:rPr>
                    <w:t>15%</w:t>
                  </w:r>
                </w:p>
              </w:tc>
              <w:tc>
                <w:tcPr>
                  <w:tcW w:w="1192" w:type="dxa"/>
                  <w:noWrap w:val="0"/>
                  <w:vAlign w:val="center"/>
                </w:tcPr>
                <w:p w14:paraId="60C2B69C">
                  <w:pPr>
                    <w:pStyle w:val="24"/>
                    <w:bidi w:val="0"/>
                    <w:jc w:val="center"/>
                    <w:rPr>
                      <w:rFonts w:hint="default"/>
                      <w:color w:val="auto"/>
                    </w:rPr>
                  </w:pPr>
                  <w:r>
                    <w:rPr>
                      <w:rFonts w:hint="default"/>
                      <w:color w:val="auto"/>
                      <w:lang w:val="en-US" w:eastAsia="zh-CN"/>
                    </w:rPr>
                    <w:t>210</w:t>
                  </w:r>
                </w:p>
              </w:tc>
              <w:tc>
                <w:tcPr>
                  <w:tcW w:w="1456" w:type="dxa"/>
                  <w:noWrap w:val="0"/>
                  <w:vAlign w:val="center"/>
                </w:tcPr>
                <w:p w14:paraId="29D7C758">
                  <w:pPr>
                    <w:pStyle w:val="24"/>
                    <w:bidi w:val="0"/>
                    <w:jc w:val="center"/>
                    <w:rPr>
                      <w:rFonts w:hint="default" w:eastAsia="宋体"/>
                      <w:color w:val="auto"/>
                      <w:lang w:val="en-US" w:eastAsia="zh-CN"/>
                    </w:rPr>
                  </w:pPr>
                  <w:r>
                    <w:rPr>
                      <w:rFonts w:hint="eastAsia"/>
                      <w:color w:val="auto"/>
                      <w:lang w:val="en-US" w:eastAsia="zh-CN"/>
                    </w:rPr>
                    <w:t>0.041</w:t>
                  </w:r>
                </w:p>
              </w:tc>
            </w:tr>
            <w:tr w14:paraId="54096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1163" w:type="dxa"/>
                  <w:vMerge w:val="continue"/>
                  <w:noWrap w:val="0"/>
                  <w:vAlign w:val="center"/>
                </w:tcPr>
                <w:p w14:paraId="75A9AE15">
                  <w:pPr>
                    <w:pStyle w:val="24"/>
                    <w:bidi w:val="0"/>
                    <w:jc w:val="center"/>
                    <w:rPr>
                      <w:rFonts w:hint="default"/>
                      <w:color w:val="auto"/>
                    </w:rPr>
                  </w:pPr>
                </w:p>
              </w:tc>
              <w:tc>
                <w:tcPr>
                  <w:tcW w:w="883" w:type="dxa"/>
                  <w:noWrap w:val="0"/>
                  <w:vAlign w:val="center"/>
                </w:tcPr>
                <w:p w14:paraId="3E46FF63">
                  <w:pPr>
                    <w:pStyle w:val="24"/>
                    <w:bidi w:val="0"/>
                    <w:jc w:val="center"/>
                    <w:rPr>
                      <w:rFonts w:hint="default"/>
                      <w:color w:val="auto"/>
                    </w:rPr>
                  </w:pPr>
                  <w:r>
                    <w:rPr>
                      <w:rFonts w:hint="default"/>
                      <w:color w:val="auto"/>
                      <w:lang w:val="en-US" w:eastAsia="zh-CN"/>
                    </w:rPr>
                    <w:t>SS</w:t>
                  </w:r>
                </w:p>
              </w:tc>
              <w:tc>
                <w:tcPr>
                  <w:tcW w:w="1192" w:type="dxa"/>
                  <w:noWrap w:val="0"/>
                  <w:vAlign w:val="center"/>
                </w:tcPr>
                <w:p w14:paraId="7283C6C6">
                  <w:pPr>
                    <w:pStyle w:val="24"/>
                    <w:bidi w:val="0"/>
                    <w:jc w:val="center"/>
                    <w:rPr>
                      <w:rFonts w:hint="default"/>
                      <w:color w:val="auto"/>
                    </w:rPr>
                  </w:pPr>
                  <w:r>
                    <w:rPr>
                      <w:rFonts w:hint="default"/>
                      <w:color w:val="auto"/>
                      <w:lang w:val="en-US" w:eastAsia="zh-CN"/>
                    </w:rPr>
                    <w:t>200</w:t>
                  </w:r>
                </w:p>
              </w:tc>
              <w:tc>
                <w:tcPr>
                  <w:tcW w:w="978" w:type="dxa"/>
                  <w:noWrap w:val="0"/>
                  <w:vAlign w:val="center"/>
                </w:tcPr>
                <w:p w14:paraId="093293B5">
                  <w:pPr>
                    <w:pStyle w:val="24"/>
                    <w:bidi w:val="0"/>
                    <w:jc w:val="center"/>
                    <w:rPr>
                      <w:rFonts w:hint="default"/>
                      <w:color w:val="auto"/>
                      <w:lang w:val="en-US"/>
                    </w:rPr>
                  </w:pPr>
                  <w:r>
                    <w:rPr>
                      <w:rFonts w:hint="eastAsia"/>
                      <w:color w:val="auto"/>
                      <w:lang w:val="en-US" w:eastAsia="zh-CN"/>
                    </w:rPr>
                    <w:t>0.040</w:t>
                  </w:r>
                </w:p>
              </w:tc>
              <w:tc>
                <w:tcPr>
                  <w:tcW w:w="984" w:type="dxa"/>
                  <w:vMerge w:val="continue"/>
                  <w:noWrap w:val="0"/>
                  <w:vAlign w:val="center"/>
                </w:tcPr>
                <w:p w14:paraId="63527691">
                  <w:pPr>
                    <w:pStyle w:val="24"/>
                    <w:bidi w:val="0"/>
                    <w:jc w:val="center"/>
                    <w:rPr>
                      <w:rFonts w:hint="default"/>
                      <w:color w:val="auto"/>
                    </w:rPr>
                  </w:pPr>
                </w:p>
              </w:tc>
              <w:tc>
                <w:tcPr>
                  <w:tcW w:w="838" w:type="dxa"/>
                  <w:noWrap w:val="0"/>
                  <w:vAlign w:val="center"/>
                </w:tcPr>
                <w:p w14:paraId="5DEC216F">
                  <w:pPr>
                    <w:pStyle w:val="24"/>
                    <w:bidi w:val="0"/>
                    <w:jc w:val="center"/>
                    <w:rPr>
                      <w:rFonts w:hint="default"/>
                      <w:color w:val="auto"/>
                    </w:rPr>
                  </w:pPr>
                  <w:r>
                    <w:rPr>
                      <w:rFonts w:hint="default"/>
                      <w:color w:val="auto"/>
                      <w:lang w:val="en-US" w:eastAsia="zh-CN"/>
                    </w:rPr>
                    <w:t>30%</w:t>
                  </w:r>
                </w:p>
              </w:tc>
              <w:tc>
                <w:tcPr>
                  <w:tcW w:w="1192" w:type="dxa"/>
                  <w:noWrap w:val="0"/>
                  <w:vAlign w:val="center"/>
                </w:tcPr>
                <w:p w14:paraId="37AB8C6F">
                  <w:pPr>
                    <w:pStyle w:val="24"/>
                    <w:bidi w:val="0"/>
                    <w:jc w:val="center"/>
                    <w:rPr>
                      <w:rFonts w:hint="default"/>
                      <w:color w:val="auto"/>
                    </w:rPr>
                  </w:pPr>
                  <w:r>
                    <w:rPr>
                      <w:rFonts w:hint="default"/>
                      <w:color w:val="auto"/>
                      <w:lang w:val="en-US" w:eastAsia="zh-CN"/>
                    </w:rPr>
                    <w:t>140</w:t>
                  </w:r>
                </w:p>
              </w:tc>
              <w:tc>
                <w:tcPr>
                  <w:tcW w:w="1456" w:type="dxa"/>
                  <w:noWrap w:val="0"/>
                  <w:vAlign w:val="center"/>
                </w:tcPr>
                <w:p w14:paraId="66F31EF9">
                  <w:pPr>
                    <w:pStyle w:val="24"/>
                    <w:bidi w:val="0"/>
                    <w:jc w:val="center"/>
                    <w:rPr>
                      <w:rFonts w:hint="default"/>
                      <w:color w:val="auto"/>
                      <w:lang w:val="en-US" w:eastAsia="zh-CN"/>
                    </w:rPr>
                  </w:pPr>
                  <w:r>
                    <w:rPr>
                      <w:rFonts w:hint="eastAsia"/>
                      <w:color w:val="auto"/>
                      <w:lang w:val="en-US" w:eastAsia="zh-CN"/>
                    </w:rPr>
                    <w:t>0.028</w:t>
                  </w:r>
                </w:p>
              </w:tc>
            </w:tr>
            <w:tr w14:paraId="6ECD4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163" w:type="dxa"/>
                  <w:vMerge w:val="continue"/>
                  <w:noWrap w:val="0"/>
                  <w:vAlign w:val="center"/>
                </w:tcPr>
                <w:p w14:paraId="44A72835">
                  <w:pPr>
                    <w:pStyle w:val="24"/>
                    <w:bidi w:val="0"/>
                    <w:jc w:val="center"/>
                    <w:rPr>
                      <w:rFonts w:hint="default"/>
                      <w:color w:val="auto"/>
                    </w:rPr>
                  </w:pPr>
                </w:p>
              </w:tc>
              <w:tc>
                <w:tcPr>
                  <w:tcW w:w="883" w:type="dxa"/>
                  <w:noWrap w:val="0"/>
                  <w:vAlign w:val="center"/>
                </w:tcPr>
                <w:p w14:paraId="2E54CD77">
                  <w:pPr>
                    <w:pStyle w:val="24"/>
                    <w:bidi w:val="0"/>
                    <w:jc w:val="center"/>
                    <w:rPr>
                      <w:rFonts w:hint="default"/>
                      <w:color w:val="auto"/>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w:t>
                  </w:r>
                </w:p>
              </w:tc>
              <w:tc>
                <w:tcPr>
                  <w:tcW w:w="1192" w:type="dxa"/>
                  <w:noWrap w:val="0"/>
                  <w:vAlign w:val="center"/>
                </w:tcPr>
                <w:p w14:paraId="45F69039">
                  <w:pPr>
                    <w:pStyle w:val="24"/>
                    <w:bidi w:val="0"/>
                    <w:jc w:val="center"/>
                    <w:rPr>
                      <w:rFonts w:hint="default"/>
                      <w:color w:val="auto"/>
                    </w:rPr>
                  </w:pPr>
                  <w:r>
                    <w:rPr>
                      <w:rFonts w:hint="default"/>
                      <w:color w:val="auto"/>
                      <w:lang w:val="en-US" w:eastAsia="zh-CN"/>
                    </w:rPr>
                    <w:t>25</w:t>
                  </w:r>
                </w:p>
              </w:tc>
              <w:tc>
                <w:tcPr>
                  <w:tcW w:w="978" w:type="dxa"/>
                  <w:noWrap w:val="0"/>
                  <w:vAlign w:val="center"/>
                </w:tcPr>
                <w:p w14:paraId="23F62995">
                  <w:pPr>
                    <w:pStyle w:val="24"/>
                    <w:bidi w:val="0"/>
                    <w:jc w:val="center"/>
                    <w:rPr>
                      <w:rFonts w:hint="default"/>
                      <w:color w:val="auto"/>
                      <w:lang w:val="en-US"/>
                    </w:rPr>
                  </w:pPr>
                  <w:r>
                    <w:rPr>
                      <w:rFonts w:hint="eastAsia"/>
                      <w:color w:val="auto"/>
                      <w:lang w:val="en-US" w:eastAsia="zh-CN"/>
                    </w:rPr>
                    <w:t>0.004</w:t>
                  </w:r>
                </w:p>
              </w:tc>
              <w:tc>
                <w:tcPr>
                  <w:tcW w:w="984" w:type="dxa"/>
                  <w:vMerge w:val="continue"/>
                  <w:noWrap w:val="0"/>
                  <w:vAlign w:val="center"/>
                </w:tcPr>
                <w:p w14:paraId="24D05D9F">
                  <w:pPr>
                    <w:pStyle w:val="24"/>
                    <w:bidi w:val="0"/>
                    <w:jc w:val="center"/>
                    <w:rPr>
                      <w:rFonts w:hint="default"/>
                      <w:color w:val="auto"/>
                    </w:rPr>
                  </w:pPr>
                </w:p>
              </w:tc>
              <w:tc>
                <w:tcPr>
                  <w:tcW w:w="838" w:type="dxa"/>
                  <w:noWrap w:val="0"/>
                  <w:vAlign w:val="center"/>
                </w:tcPr>
                <w:p w14:paraId="0A0FE48C">
                  <w:pPr>
                    <w:pStyle w:val="24"/>
                    <w:bidi w:val="0"/>
                    <w:jc w:val="center"/>
                    <w:rPr>
                      <w:rFonts w:hint="default"/>
                      <w:color w:val="auto"/>
                    </w:rPr>
                  </w:pPr>
                  <w:r>
                    <w:rPr>
                      <w:rFonts w:hint="eastAsia"/>
                      <w:color w:val="auto"/>
                      <w:lang w:val="en-US" w:eastAsia="zh-CN"/>
                    </w:rPr>
                    <w:t>/</w:t>
                  </w:r>
                </w:p>
              </w:tc>
              <w:tc>
                <w:tcPr>
                  <w:tcW w:w="1192" w:type="dxa"/>
                  <w:noWrap w:val="0"/>
                  <w:vAlign w:val="center"/>
                </w:tcPr>
                <w:p w14:paraId="343B8E0F">
                  <w:pPr>
                    <w:pStyle w:val="24"/>
                    <w:bidi w:val="0"/>
                    <w:jc w:val="center"/>
                    <w:rPr>
                      <w:rFonts w:hint="default"/>
                      <w:color w:val="auto"/>
                      <w:lang w:val="en-US"/>
                    </w:rPr>
                  </w:pPr>
                  <w:r>
                    <w:rPr>
                      <w:rFonts w:hint="eastAsia"/>
                      <w:color w:val="auto"/>
                      <w:lang w:val="en-US" w:eastAsia="zh-CN"/>
                    </w:rPr>
                    <w:t>25</w:t>
                  </w:r>
                </w:p>
              </w:tc>
              <w:tc>
                <w:tcPr>
                  <w:tcW w:w="1456" w:type="dxa"/>
                  <w:noWrap w:val="0"/>
                  <w:vAlign w:val="center"/>
                </w:tcPr>
                <w:p w14:paraId="27000680">
                  <w:pPr>
                    <w:pStyle w:val="24"/>
                    <w:bidi w:val="0"/>
                    <w:jc w:val="center"/>
                    <w:rPr>
                      <w:rFonts w:hint="default"/>
                      <w:color w:val="auto"/>
                      <w:lang w:val="en-US" w:eastAsia="zh-CN"/>
                    </w:rPr>
                  </w:pPr>
                  <w:r>
                    <w:rPr>
                      <w:rFonts w:hint="eastAsia"/>
                      <w:color w:val="auto"/>
                      <w:lang w:val="en-US" w:eastAsia="zh-CN"/>
                    </w:rPr>
                    <w:t>0.004</w:t>
                  </w:r>
                </w:p>
              </w:tc>
            </w:tr>
          </w:tbl>
          <w:p w14:paraId="30E7F3A5">
            <w:pPr>
              <w:pStyle w:val="44"/>
              <w:bidi w:val="0"/>
              <w:rPr>
                <w:rFonts w:hint="eastAsia" w:cs="Times New Roman"/>
                <w:color w:val="auto"/>
                <w:lang w:val="en-US" w:eastAsia="zh-CN"/>
              </w:rPr>
            </w:pPr>
            <w:r>
              <w:rPr>
                <w:rFonts w:hint="eastAsia" w:cs="Times New Roman"/>
                <w:color w:val="auto"/>
                <w:lang w:val="en-US" w:eastAsia="zh-CN"/>
              </w:rPr>
              <w:t>根据上述分析，本项目生活污水排放浓度满足《污水排入城镇下水道水质标准》（GB/T31962-2015）中A级标准要求（pH6.5~9.5、COD≤500mg/L、BOD</w:t>
            </w:r>
            <w:r>
              <w:rPr>
                <w:rFonts w:hint="eastAsia" w:cs="Times New Roman"/>
                <w:color w:val="auto"/>
                <w:vertAlign w:val="subscript"/>
                <w:lang w:val="en-US" w:eastAsia="zh-CN"/>
              </w:rPr>
              <w:t>5</w:t>
            </w:r>
            <w:r>
              <w:rPr>
                <w:rFonts w:hint="eastAsia" w:cs="Times New Roman"/>
                <w:color w:val="auto"/>
                <w:lang w:val="en-US" w:eastAsia="zh-CN"/>
              </w:rPr>
              <w:t>≤350mg/L、SS≤400mg/L、NH</w:t>
            </w:r>
            <w:r>
              <w:rPr>
                <w:rFonts w:hint="eastAsia" w:cs="Times New Roman"/>
                <w:color w:val="auto"/>
                <w:vertAlign w:val="subscript"/>
                <w:lang w:val="en-US" w:eastAsia="zh-CN"/>
              </w:rPr>
              <w:t>3</w:t>
            </w:r>
            <w:r>
              <w:rPr>
                <w:rFonts w:hint="eastAsia" w:cs="Times New Roman"/>
                <w:color w:val="auto"/>
                <w:lang w:val="en-US" w:eastAsia="zh-CN"/>
              </w:rPr>
              <w:t>-N≤45mg/L）。</w:t>
            </w:r>
          </w:p>
          <w:p w14:paraId="7E8FFE27">
            <w:pPr>
              <w:pStyle w:val="44"/>
              <w:bidi w:val="0"/>
              <w:rPr>
                <w:rFonts w:hint="default" w:cs="Times New Roman"/>
                <w:b/>
                <w:bCs/>
                <w:color w:val="auto"/>
                <w:lang w:val="en-US" w:eastAsia="zh-CN"/>
              </w:rPr>
            </w:pPr>
            <w:r>
              <w:rPr>
                <w:rFonts w:hint="eastAsia" w:cs="Times New Roman"/>
                <w:b/>
                <w:bCs/>
                <w:color w:val="auto"/>
                <w:lang w:val="en-US" w:eastAsia="zh-CN"/>
              </w:rPr>
              <w:t>（2）</w:t>
            </w:r>
            <w:r>
              <w:rPr>
                <w:rFonts w:hint="default" w:cs="Times New Roman"/>
                <w:b/>
                <w:bCs/>
                <w:color w:val="auto"/>
                <w:lang w:val="en-US" w:eastAsia="zh-CN"/>
              </w:rPr>
              <w:t>排放口基本情况</w:t>
            </w:r>
          </w:p>
          <w:p w14:paraId="095B2899">
            <w:pPr>
              <w:pStyle w:val="44"/>
              <w:bidi w:val="0"/>
              <w:rPr>
                <w:rFonts w:hint="default" w:cs="Times New Roman"/>
                <w:b w:val="0"/>
                <w:bCs w:val="0"/>
                <w:color w:val="auto"/>
                <w:lang w:val="en-US" w:eastAsia="zh-CN"/>
              </w:rPr>
            </w:pPr>
            <w:r>
              <w:rPr>
                <w:rFonts w:hint="default" w:cs="Times New Roman"/>
                <w:b w:val="0"/>
                <w:bCs w:val="0"/>
                <w:color w:val="auto"/>
                <w:lang w:val="en-US" w:eastAsia="zh-CN"/>
              </w:rPr>
              <w:t>本项目设置1个废水排放口，具体设置情况见下表。</w:t>
            </w:r>
          </w:p>
          <w:p w14:paraId="444128BD">
            <w:pPr>
              <w:pStyle w:val="25"/>
              <w:bidi w:val="0"/>
              <w:rPr>
                <w:rFonts w:hint="default"/>
                <w:lang w:val="en-US" w:eastAsia="zh-CN"/>
              </w:rPr>
            </w:pPr>
            <w:r>
              <w:rPr>
                <w:rFonts w:hint="eastAsia"/>
                <w:lang w:val="en-US" w:eastAsia="zh-CN"/>
              </w:rPr>
              <w:t xml:space="preserve">表4-9         运营期废水污染源排放口基本情况一览表 </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1"/>
              <w:gridCol w:w="762"/>
              <w:gridCol w:w="1674"/>
              <w:gridCol w:w="1442"/>
              <w:gridCol w:w="753"/>
              <w:gridCol w:w="1296"/>
              <w:gridCol w:w="1469"/>
            </w:tblGrid>
            <w:tr w14:paraId="2E9AE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643" w:type="dxa"/>
                  <w:gridSpan w:val="2"/>
                  <w:tcBorders>
                    <w:bottom w:val="single" w:color="auto" w:sz="4" w:space="0"/>
                    <w:right w:val="single" w:color="auto" w:sz="4" w:space="0"/>
                  </w:tcBorders>
                  <w:noWrap w:val="0"/>
                  <w:vAlign w:val="center"/>
                </w:tcPr>
                <w:p w14:paraId="17D4FFD3">
                  <w:pPr>
                    <w:pStyle w:val="24"/>
                    <w:bidi w:val="0"/>
                    <w:jc w:val="center"/>
                    <w:rPr>
                      <w:b/>
                      <w:bCs/>
                    </w:rPr>
                  </w:pPr>
                  <w:r>
                    <w:rPr>
                      <w:b/>
                      <w:bCs/>
                    </w:rPr>
                    <w:t>排污口</w:t>
                  </w:r>
                </w:p>
              </w:tc>
              <w:tc>
                <w:tcPr>
                  <w:tcW w:w="3116" w:type="dxa"/>
                  <w:gridSpan w:val="2"/>
                  <w:tcBorders>
                    <w:left w:val="single" w:color="auto" w:sz="4" w:space="0"/>
                    <w:right w:val="single" w:color="auto" w:sz="4" w:space="0"/>
                  </w:tcBorders>
                  <w:noWrap w:val="0"/>
                  <w:vAlign w:val="center"/>
                </w:tcPr>
                <w:p w14:paraId="1729BCE4">
                  <w:pPr>
                    <w:pStyle w:val="24"/>
                    <w:bidi w:val="0"/>
                    <w:jc w:val="center"/>
                    <w:rPr>
                      <w:b/>
                      <w:bCs/>
                    </w:rPr>
                  </w:pPr>
                  <w:r>
                    <w:rPr>
                      <w:b/>
                      <w:bCs/>
                    </w:rPr>
                    <w:t>生活污水总排口中心地理坐标</w:t>
                  </w:r>
                </w:p>
              </w:tc>
              <w:tc>
                <w:tcPr>
                  <w:tcW w:w="753" w:type="dxa"/>
                  <w:vMerge w:val="restart"/>
                  <w:tcBorders>
                    <w:left w:val="single" w:color="auto" w:sz="4" w:space="0"/>
                    <w:right w:val="single" w:color="auto" w:sz="4" w:space="0"/>
                  </w:tcBorders>
                  <w:noWrap w:val="0"/>
                  <w:vAlign w:val="center"/>
                </w:tcPr>
                <w:p w14:paraId="0C3A18B5">
                  <w:pPr>
                    <w:pStyle w:val="24"/>
                    <w:bidi w:val="0"/>
                    <w:jc w:val="center"/>
                    <w:rPr>
                      <w:b/>
                      <w:bCs/>
                    </w:rPr>
                  </w:pPr>
                  <w:r>
                    <w:rPr>
                      <w:b/>
                      <w:bCs/>
                    </w:rPr>
                    <w:t>排放规律</w:t>
                  </w:r>
                </w:p>
              </w:tc>
              <w:tc>
                <w:tcPr>
                  <w:tcW w:w="2765" w:type="dxa"/>
                  <w:gridSpan w:val="2"/>
                  <w:tcBorders>
                    <w:left w:val="single" w:color="auto" w:sz="4" w:space="0"/>
                    <w:bottom w:val="single" w:color="auto" w:sz="4" w:space="0"/>
                  </w:tcBorders>
                  <w:noWrap w:val="0"/>
                  <w:vAlign w:val="center"/>
                </w:tcPr>
                <w:p w14:paraId="7292DD0E">
                  <w:pPr>
                    <w:pStyle w:val="24"/>
                    <w:bidi w:val="0"/>
                    <w:jc w:val="center"/>
                    <w:rPr>
                      <w:b/>
                      <w:bCs/>
                    </w:rPr>
                  </w:pPr>
                  <w:r>
                    <w:rPr>
                      <w:b/>
                      <w:bCs/>
                    </w:rPr>
                    <w:t>排放标准</w:t>
                  </w:r>
                </w:p>
              </w:tc>
            </w:tr>
            <w:tr w14:paraId="0B684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tcBorders>
                    <w:top w:val="single" w:color="auto" w:sz="4" w:space="0"/>
                  </w:tcBorders>
                  <w:noWrap w:val="0"/>
                  <w:vAlign w:val="center"/>
                </w:tcPr>
                <w:p w14:paraId="73E15020">
                  <w:pPr>
                    <w:pStyle w:val="24"/>
                    <w:bidi w:val="0"/>
                    <w:jc w:val="center"/>
                    <w:rPr>
                      <w:b/>
                      <w:bCs/>
                    </w:rPr>
                  </w:pPr>
                  <w:r>
                    <w:rPr>
                      <w:b/>
                      <w:bCs/>
                    </w:rPr>
                    <w:t>编号</w:t>
                  </w:r>
                </w:p>
              </w:tc>
              <w:tc>
                <w:tcPr>
                  <w:tcW w:w="762" w:type="dxa"/>
                  <w:tcBorders>
                    <w:top w:val="single" w:color="auto" w:sz="4" w:space="0"/>
                    <w:right w:val="single" w:color="auto" w:sz="4" w:space="0"/>
                  </w:tcBorders>
                  <w:noWrap w:val="0"/>
                  <w:vAlign w:val="center"/>
                </w:tcPr>
                <w:p w14:paraId="35F9DCD0">
                  <w:pPr>
                    <w:pStyle w:val="24"/>
                    <w:bidi w:val="0"/>
                    <w:jc w:val="center"/>
                    <w:rPr>
                      <w:b/>
                      <w:bCs/>
                    </w:rPr>
                  </w:pPr>
                  <w:r>
                    <w:rPr>
                      <w:b/>
                      <w:bCs/>
                    </w:rPr>
                    <w:t>名称</w:t>
                  </w:r>
                </w:p>
              </w:tc>
              <w:tc>
                <w:tcPr>
                  <w:tcW w:w="1674" w:type="dxa"/>
                  <w:tcBorders>
                    <w:left w:val="single" w:color="auto" w:sz="4" w:space="0"/>
                    <w:right w:val="single" w:color="auto" w:sz="4" w:space="0"/>
                  </w:tcBorders>
                  <w:noWrap w:val="0"/>
                  <w:vAlign w:val="center"/>
                </w:tcPr>
                <w:p w14:paraId="08717400">
                  <w:pPr>
                    <w:pStyle w:val="24"/>
                    <w:bidi w:val="0"/>
                    <w:jc w:val="center"/>
                    <w:rPr>
                      <w:b/>
                      <w:bCs/>
                    </w:rPr>
                  </w:pPr>
                  <w:r>
                    <w:rPr>
                      <w:b/>
                      <w:bCs/>
                    </w:rPr>
                    <w:t>E</w:t>
                  </w:r>
                </w:p>
              </w:tc>
              <w:tc>
                <w:tcPr>
                  <w:tcW w:w="1442" w:type="dxa"/>
                  <w:tcBorders>
                    <w:left w:val="single" w:color="auto" w:sz="4" w:space="0"/>
                    <w:right w:val="single" w:color="auto" w:sz="4" w:space="0"/>
                  </w:tcBorders>
                  <w:noWrap w:val="0"/>
                  <w:vAlign w:val="center"/>
                </w:tcPr>
                <w:p w14:paraId="2B746BEC">
                  <w:pPr>
                    <w:pStyle w:val="24"/>
                    <w:bidi w:val="0"/>
                    <w:jc w:val="center"/>
                    <w:rPr>
                      <w:b/>
                      <w:bCs/>
                    </w:rPr>
                  </w:pPr>
                  <w:r>
                    <w:rPr>
                      <w:b/>
                      <w:bCs/>
                    </w:rPr>
                    <w:t>N</w:t>
                  </w:r>
                </w:p>
              </w:tc>
              <w:tc>
                <w:tcPr>
                  <w:tcW w:w="753" w:type="dxa"/>
                  <w:vMerge w:val="continue"/>
                  <w:tcBorders>
                    <w:left w:val="single" w:color="auto" w:sz="4" w:space="0"/>
                    <w:right w:val="single" w:color="auto" w:sz="4" w:space="0"/>
                  </w:tcBorders>
                  <w:noWrap w:val="0"/>
                  <w:vAlign w:val="center"/>
                </w:tcPr>
                <w:p w14:paraId="1DE4D76D">
                  <w:pPr>
                    <w:pStyle w:val="24"/>
                    <w:bidi w:val="0"/>
                    <w:jc w:val="center"/>
                    <w:rPr>
                      <w:b/>
                      <w:bCs/>
                    </w:rPr>
                  </w:pPr>
                </w:p>
              </w:tc>
              <w:tc>
                <w:tcPr>
                  <w:tcW w:w="1296" w:type="dxa"/>
                  <w:tcBorders>
                    <w:top w:val="single" w:color="auto" w:sz="4" w:space="0"/>
                    <w:left w:val="single" w:color="auto" w:sz="4" w:space="0"/>
                    <w:right w:val="single" w:color="auto" w:sz="4" w:space="0"/>
                  </w:tcBorders>
                  <w:noWrap w:val="0"/>
                  <w:vAlign w:val="center"/>
                </w:tcPr>
                <w:p w14:paraId="19994B56">
                  <w:pPr>
                    <w:pStyle w:val="24"/>
                    <w:bidi w:val="0"/>
                    <w:jc w:val="center"/>
                    <w:rPr>
                      <w:b/>
                      <w:bCs/>
                    </w:rPr>
                  </w:pPr>
                  <w:r>
                    <w:rPr>
                      <w:b/>
                      <w:bCs/>
                    </w:rPr>
                    <w:t>污染物名称</w:t>
                  </w:r>
                </w:p>
              </w:tc>
              <w:tc>
                <w:tcPr>
                  <w:tcW w:w="1469" w:type="dxa"/>
                  <w:tcBorders>
                    <w:top w:val="single" w:color="auto" w:sz="4" w:space="0"/>
                    <w:left w:val="single" w:color="auto" w:sz="4" w:space="0"/>
                  </w:tcBorders>
                  <w:noWrap w:val="0"/>
                  <w:vAlign w:val="center"/>
                </w:tcPr>
                <w:p w14:paraId="498CFFFB">
                  <w:pPr>
                    <w:pStyle w:val="24"/>
                    <w:bidi w:val="0"/>
                    <w:jc w:val="center"/>
                    <w:rPr>
                      <w:b/>
                      <w:bCs/>
                    </w:rPr>
                  </w:pPr>
                  <w:r>
                    <w:rPr>
                      <w:b/>
                      <w:bCs/>
                    </w:rPr>
                    <w:t>标准值mg/m</w:t>
                  </w:r>
                  <w:r>
                    <w:rPr>
                      <w:b/>
                      <w:bCs/>
                      <w:vertAlign w:val="superscript"/>
                    </w:rPr>
                    <w:t>3</w:t>
                  </w:r>
                </w:p>
              </w:tc>
            </w:tr>
            <w:tr w14:paraId="242FF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vMerge w:val="restart"/>
                  <w:tcBorders>
                    <w:top w:val="single" w:color="auto" w:sz="4" w:space="0"/>
                  </w:tcBorders>
                  <w:noWrap w:val="0"/>
                  <w:vAlign w:val="center"/>
                </w:tcPr>
                <w:p w14:paraId="7BF78D15">
                  <w:pPr>
                    <w:pStyle w:val="24"/>
                    <w:bidi w:val="0"/>
                  </w:pPr>
                  <w:r>
                    <w:t>DW001</w:t>
                  </w:r>
                </w:p>
              </w:tc>
              <w:tc>
                <w:tcPr>
                  <w:tcW w:w="762" w:type="dxa"/>
                  <w:vMerge w:val="restart"/>
                  <w:tcBorders>
                    <w:top w:val="single" w:color="auto" w:sz="4" w:space="0"/>
                    <w:right w:val="single" w:color="auto" w:sz="4" w:space="0"/>
                  </w:tcBorders>
                  <w:noWrap w:val="0"/>
                  <w:vAlign w:val="center"/>
                </w:tcPr>
                <w:p w14:paraId="4B2B56AF">
                  <w:pPr>
                    <w:pStyle w:val="24"/>
                    <w:bidi w:val="0"/>
                    <w:jc w:val="center"/>
                  </w:pPr>
                  <w:r>
                    <w:t>生活污水总排口</w:t>
                  </w:r>
                </w:p>
              </w:tc>
              <w:tc>
                <w:tcPr>
                  <w:tcW w:w="1674" w:type="dxa"/>
                  <w:vMerge w:val="restart"/>
                  <w:tcBorders>
                    <w:left w:val="single" w:color="auto" w:sz="4" w:space="0"/>
                    <w:right w:val="single" w:color="auto" w:sz="4" w:space="0"/>
                  </w:tcBorders>
                  <w:noWrap w:val="0"/>
                  <w:vAlign w:val="center"/>
                </w:tcPr>
                <w:p w14:paraId="27EE2C12">
                  <w:pPr>
                    <w:pStyle w:val="24"/>
                    <w:bidi w:val="0"/>
                  </w:pPr>
                  <w:r>
                    <w:t>10</w:t>
                  </w:r>
                  <w:r>
                    <w:rPr>
                      <w:rFonts w:hint="eastAsia"/>
                    </w:rPr>
                    <w:t>6</w:t>
                  </w:r>
                  <w:r>
                    <w:t>°</w:t>
                  </w:r>
                  <w:r>
                    <w:rPr>
                      <w:rFonts w:hint="eastAsia"/>
                      <w:lang w:val="en-US" w:eastAsia="zh-CN"/>
                    </w:rPr>
                    <w:t>09</w:t>
                  </w:r>
                  <w:r>
                    <w:t>′</w:t>
                  </w:r>
                  <w:r>
                    <w:rPr>
                      <w:rFonts w:hint="eastAsia"/>
                    </w:rPr>
                    <w:t>37.247</w:t>
                  </w:r>
                  <w:r>
                    <w:t>″</w:t>
                  </w:r>
                </w:p>
              </w:tc>
              <w:tc>
                <w:tcPr>
                  <w:tcW w:w="1442" w:type="dxa"/>
                  <w:vMerge w:val="restart"/>
                  <w:tcBorders>
                    <w:left w:val="single" w:color="auto" w:sz="4" w:space="0"/>
                    <w:right w:val="single" w:color="auto" w:sz="4" w:space="0"/>
                  </w:tcBorders>
                  <w:noWrap w:val="0"/>
                  <w:vAlign w:val="center"/>
                </w:tcPr>
                <w:p w14:paraId="0AA9890F">
                  <w:pPr>
                    <w:pStyle w:val="24"/>
                    <w:bidi w:val="0"/>
                  </w:pPr>
                  <w:r>
                    <w:t>3</w:t>
                  </w:r>
                  <w:r>
                    <w:rPr>
                      <w:rFonts w:hint="eastAsia"/>
                    </w:rPr>
                    <w:t>6</w:t>
                  </w:r>
                  <w:r>
                    <w:t>°</w:t>
                  </w:r>
                  <w:r>
                    <w:rPr>
                      <w:rFonts w:hint="eastAsia"/>
                      <w:lang w:val="en-US" w:eastAsia="zh-CN"/>
                    </w:rPr>
                    <w:t>10</w:t>
                  </w:r>
                  <w:r>
                    <w:t>′</w:t>
                  </w:r>
                  <w:r>
                    <w:rPr>
                      <w:rFonts w:hint="eastAsia"/>
                      <w:lang w:val="en-US" w:eastAsia="zh-CN"/>
                    </w:rPr>
                    <w:t>39</w:t>
                  </w:r>
                  <w:r>
                    <w:rPr>
                      <w:rFonts w:hint="eastAsia"/>
                    </w:rPr>
                    <w:t>.049</w:t>
                  </w:r>
                  <w:r>
                    <w:t>″</w:t>
                  </w:r>
                </w:p>
              </w:tc>
              <w:tc>
                <w:tcPr>
                  <w:tcW w:w="753" w:type="dxa"/>
                  <w:vMerge w:val="restart"/>
                  <w:tcBorders>
                    <w:left w:val="single" w:color="auto" w:sz="4" w:space="0"/>
                    <w:right w:val="single" w:color="auto" w:sz="4" w:space="0"/>
                  </w:tcBorders>
                  <w:noWrap w:val="0"/>
                  <w:vAlign w:val="center"/>
                </w:tcPr>
                <w:p w14:paraId="601DA0E0">
                  <w:pPr>
                    <w:pStyle w:val="24"/>
                    <w:bidi w:val="0"/>
                    <w:rPr>
                      <w:rFonts w:hint="eastAsia"/>
                      <w:lang w:eastAsia="zh-CN"/>
                    </w:rPr>
                  </w:pPr>
                  <w:r>
                    <w:rPr>
                      <w:rFonts w:hint="eastAsia"/>
                      <w:lang w:eastAsia="zh-CN"/>
                    </w:rPr>
                    <w:t>间歇</w:t>
                  </w:r>
                </w:p>
              </w:tc>
              <w:tc>
                <w:tcPr>
                  <w:tcW w:w="1296" w:type="dxa"/>
                  <w:tcBorders>
                    <w:top w:val="single" w:color="auto" w:sz="4" w:space="0"/>
                    <w:left w:val="single" w:color="auto" w:sz="4" w:space="0"/>
                    <w:right w:val="single" w:color="auto" w:sz="4" w:space="0"/>
                  </w:tcBorders>
                  <w:noWrap w:val="0"/>
                  <w:vAlign w:val="center"/>
                </w:tcPr>
                <w:p w14:paraId="54E09B04">
                  <w:pPr>
                    <w:pStyle w:val="24"/>
                    <w:bidi w:val="0"/>
                  </w:pPr>
                  <w:r>
                    <w:t>pH</w:t>
                  </w:r>
                </w:p>
              </w:tc>
              <w:tc>
                <w:tcPr>
                  <w:tcW w:w="1469" w:type="dxa"/>
                  <w:tcBorders>
                    <w:top w:val="single" w:color="auto" w:sz="4" w:space="0"/>
                    <w:left w:val="single" w:color="auto" w:sz="4" w:space="0"/>
                  </w:tcBorders>
                  <w:noWrap w:val="0"/>
                  <w:vAlign w:val="center"/>
                </w:tcPr>
                <w:p w14:paraId="127CD70A">
                  <w:pPr>
                    <w:pStyle w:val="24"/>
                    <w:bidi w:val="0"/>
                  </w:pPr>
                  <w:r>
                    <w:t>6.5~9.5</w:t>
                  </w:r>
                </w:p>
              </w:tc>
            </w:tr>
            <w:tr w14:paraId="1FD6C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vMerge w:val="continue"/>
                  <w:noWrap w:val="0"/>
                  <w:vAlign w:val="center"/>
                </w:tcPr>
                <w:p w14:paraId="451A235D">
                  <w:pPr>
                    <w:pStyle w:val="24"/>
                    <w:bidi w:val="0"/>
                  </w:pPr>
                </w:p>
              </w:tc>
              <w:tc>
                <w:tcPr>
                  <w:tcW w:w="762" w:type="dxa"/>
                  <w:vMerge w:val="continue"/>
                  <w:tcBorders>
                    <w:right w:val="single" w:color="auto" w:sz="4" w:space="0"/>
                  </w:tcBorders>
                  <w:noWrap w:val="0"/>
                  <w:vAlign w:val="center"/>
                </w:tcPr>
                <w:p w14:paraId="4AE06597">
                  <w:pPr>
                    <w:pStyle w:val="24"/>
                    <w:bidi w:val="0"/>
                  </w:pPr>
                </w:p>
              </w:tc>
              <w:tc>
                <w:tcPr>
                  <w:tcW w:w="1674" w:type="dxa"/>
                  <w:vMerge w:val="continue"/>
                  <w:tcBorders>
                    <w:left w:val="single" w:color="auto" w:sz="4" w:space="0"/>
                    <w:right w:val="single" w:color="auto" w:sz="4" w:space="0"/>
                  </w:tcBorders>
                  <w:noWrap w:val="0"/>
                  <w:vAlign w:val="center"/>
                </w:tcPr>
                <w:p w14:paraId="740F5457">
                  <w:pPr>
                    <w:pStyle w:val="24"/>
                    <w:bidi w:val="0"/>
                  </w:pPr>
                </w:p>
              </w:tc>
              <w:tc>
                <w:tcPr>
                  <w:tcW w:w="1442" w:type="dxa"/>
                  <w:vMerge w:val="continue"/>
                  <w:tcBorders>
                    <w:left w:val="single" w:color="auto" w:sz="4" w:space="0"/>
                    <w:right w:val="single" w:color="auto" w:sz="4" w:space="0"/>
                  </w:tcBorders>
                  <w:noWrap w:val="0"/>
                  <w:vAlign w:val="center"/>
                </w:tcPr>
                <w:p w14:paraId="0FBBE695">
                  <w:pPr>
                    <w:pStyle w:val="24"/>
                    <w:bidi w:val="0"/>
                  </w:pPr>
                </w:p>
              </w:tc>
              <w:tc>
                <w:tcPr>
                  <w:tcW w:w="753" w:type="dxa"/>
                  <w:vMerge w:val="continue"/>
                  <w:tcBorders>
                    <w:left w:val="single" w:color="auto" w:sz="4" w:space="0"/>
                    <w:right w:val="single" w:color="auto" w:sz="4" w:space="0"/>
                  </w:tcBorders>
                  <w:noWrap w:val="0"/>
                  <w:vAlign w:val="center"/>
                </w:tcPr>
                <w:p w14:paraId="61487CA5">
                  <w:pPr>
                    <w:pStyle w:val="24"/>
                    <w:bidi w:val="0"/>
                  </w:pPr>
                </w:p>
              </w:tc>
              <w:tc>
                <w:tcPr>
                  <w:tcW w:w="1296" w:type="dxa"/>
                  <w:tcBorders>
                    <w:left w:val="single" w:color="auto" w:sz="4" w:space="0"/>
                    <w:right w:val="single" w:color="auto" w:sz="4" w:space="0"/>
                  </w:tcBorders>
                  <w:noWrap w:val="0"/>
                  <w:vAlign w:val="center"/>
                </w:tcPr>
                <w:p w14:paraId="25A23F08">
                  <w:pPr>
                    <w:pStyle w:val="24"/>
                    <w:bidi w:val="0"/>
                  </w:pPr>
                  <w:r>
                    <w:t>COD</w:t>
                  </w:r>
                </w:p>
              </w:tc>
              <w:tc>
                <w:tcPr>
                  <w:tcW w:w="1469" w:type="dxa"/>
                  <w:tcBorders>
                    <w:left w:val="single" w:color="auto" w:sz="4" w:space="0"/>
                  </w:tcBorders>
                  <w:noWrap w:val="0"/>
                  <w:vAlign w:val="center"/>
                </w:tcPr>
                <w:p w14:paraId="64BE5911">
                  <w:pPr>
                    <w:pStyle w:val="24"/>
                    <w:bidi w:val="0"/>
                  </w:pPr>
                  <w:r>
                    <w:t>500</w:t>
                  </w:r>
                </w:p>
              </w:tc>
            </w:tr>
            <w:tr w14:paraId="7B4E8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vMerge w:val="continue"/>
                  <w:noWrap w:val="0"/>
                  <w:vAlign w:val="center"/>
                </w:tcPr>
                <w:p w14:paraId="5D79E823">
                  <w:pPr>
                    <w:pStyle w:val="24"/>
                    <w:bidi w:val="0"/>
                  </w:pPr>
                </w:p>
              </w:tc>
              <w:tc>
                <w:tcPr>
                  <w:tcW w:w="762" w:type="dxa"/>
                  <w:vMerge w:val="continue"/>
                  <w:tcBorders>
                    <w:right w:val="single" w:color="auto" w:sz="4" w:space="0"/>
                  </w:tcBorders>
                  <w:noWrap w:val="0"/>
                  <w:vAlign w:val="center"/>
                </w:tcPr>
                <w:p w14:paraId="4867D6BA">
                  <w:pPr>
                    <w:pStyle w:val="24"/>
                    <w:bidi w:val="0"/>
                  </w:pPr>
                </w:p>
              </w:tc>
              <w:tc>
                <w:tcPr>
                  <w:tcW w:w="1674" w:type="dxa"/>
                  <w:vMerge w:val="continue"/>
                  <w:tcBorders>
                    <w:left w:val="single" w:color="auto" w:sz="4" w:space="0"/>
                    <w:right w:val="single" w:color="auto" w:sz="4" w:space="0"/>
                  </w:tcBorders>
                  <w:noWrap w:val="0"/>
                  <w:vAlign w:val="center"/>
                </w:tcPr>
                <w:p w14:paraId="4EE8897C">
                  <w:pPr>
                    <w:pStyle w:val="24"/>
                    <w:bidi w:val="0"/>
                  </w:pPr>
                </w:p>
              </w:tc>
              <w:tc>
                <w:tcPr>
                  <w:tcW w:w="1442" w:type="dxa"/>
                  <w:vMerge w:val="continue"/>
                  <w:tcBorders>
                    <w:left w:val="single" w:color="auto" w:sz="4" w:space="0"/>
                    <w:right w:val="single" w:color="auto" w:sz="4" w:space="0"/>
                  </w:tcBorders>
                  <w:noWrap w:val="0"/>
                  <w:vAlign w:val="center"/>
                </w:tcPr>
                <w:p w14:paraId="6FA2DB20">
                  <w:pPr>
                    <w:pStyle w:val="24"/>
                    <w:bidi w:val="0"/>
                  </w:pPr>
                </w:p>
              </w:tc>
              <w:tc>
                <w:tcPr>
                  <w:tcW w:w="753" w:type="dxa"/>
                  <w:vMerge w:val="continue"/>
                  <w:tcBorders>
                    <w:left w:val="single" w:color="auto" w:sz="4" w:space="0"/>
                    <w:right w:val="single" w:color="auto" w:sz="4" w:space="0"/>
                  </w:tcBorders>
                  <w:noWrap w:val="0"/>
                  <w:vAlign w:val="center"/>
                </w:tcPr>
                <w:p w14:paraId="6632DF55">
                  <w:pPr>
                    <w:pStyle w:val="24"/>
                    <w:bidi w:val="0"/>
                  </w:pPr>
                </w:p>
              </w:tc>
              <w:tc>
                <w:tcPr>
                  <w:tcW w:w="1296" w:type="dxa"/>
                  <w:tcBorders>
                    <w:left w:val="single" w:color="auto" w:sz="4" w:space="0"/>
                    <w:right w:val="single" w:color="auto" w:sz="4" w:space="0"/>
                  </w:tcBorders>
                  <w:noWrap w:val="0"/>
                  <w:vAlign w:val="center"/>
                </w:tcPr>
                <w:p w14:paraId="662FE573">
                  <w:pPr>
                    <w:pStyle w:val="24"/>
                    <w:bidi w:val="0"/>
                  </w:pPr>
                  <w:r>
                    <w:t>BOD</w:t>
                  </w:r>
                  <w:r>
                    <w:rPr>
                      <w:vertAlign w:val="subscript"/>
                    </w:rPr>
                    <w:t>5</w:t>
                  </w:r>
                </w:p>
              </w:tc>
              <w:tc>
                <w:tcPr>
                  <w:tcW w:w="1469" w:type="dxa"/>
                  <w:tcBorders>
                    <w:left w:val="single" w:color="auto" w:sz="4" w:space="0"/>
                  </w:tcBorders>
                  <w:noWrap w:val="0"/>
                  <w:vAlign w:val="center"/>
                </w:tcPr>
                <w:p w14:paraId="2E63B3CC">
                  <w:pPr>
                    <w:pStyle w:val="24"/>
                    <w:bidi w:val="0"/>
                  </w:pPr>
                  <w:r>
                    <w:t>350</w:t>
                  </w:r>
                </w:p>
              </w:tc>
            </w:tr>
            <w:tr w14:paraId="57727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vMerge w:val="continue"/>
                  <w:noWrap w:val="0"/>
                  <w:vAlign w:val="center"/>
                </w:tcPr>
                <w:p w14:paraId="52A5AB3E">
                  <w:pPr>
                    <w:pStyle w:val="24"/>
                    <w:bidi w:val="0"/>
                  </w:pPr>
                </w:p>
              </w:tc>
              <w:tc>
                <w:tcPr>
                  <w:tcW w:w="762" w:type="dxa"/>
                  <w:vMerge w:val="continue"/>
                  <w:tcBorders>
                    <w:right w:val="single" w:color="auto" w:sz="4" w:space="0"/>
                  </w:tcBorders>
                  <w:noWrap w:val="0"/>
                  <w:vAlign w:val="center"/>
                </w:tcPr>
                <w:p w14:paraId="6C33EA7A">
                  <w:pPr>
                    <w:pStyle w:val="24"/>
                    <w:bidi w:val="0"/>
                  </w:pPr>
                </w:p>
              </w:tc>
              <w:tc>
                <w:tcPr>
                  <w:tcW w:w="1674" w:type="dxa"/>
                  <w:vMerge w:val="continue"/>
                  <w:tcBorders>
                    <w:left w:val="single" w:color="auto" w:sz="4" w:space="0"/>
                    <w:right w:val="single" w:color="auto" w:sz="4" w:space="0"/>
                  </w:tcBorders>
                  <w:noWrap w:val="0"/>
                  <w:vAlign w:val="center"/>
                </w:tcPr>
                <w:p w14:paraId="08C53117">
                  <w:pPr>
                    <w:pStyle w:val="24"/>
                    <w:bidi w:val="0"/>
                  </w:pPr>
                </w:p>
              </w:tc>
              <w:tc>
                <w:tcPr>
                  <w:tcW w:w="1442" w:type="dxa"/>
                  <w:vMerge w:val="continue"/>
                  <w:tcBorders>
                    <w:left w:val="single" w:color="auto" w:sz="4" w:space="0"/>
                    <w:right w:val="single" w:color="auto" w:sz="4" w:space="0"/>
                  </w:tcBorders>
                  <w:noWrap w:val="0"/>
                  <w:vAlign w:val="center"/>
                </w:tcPr>
                <w:p w14:paraId="62B83BEA">
                  <w:pPr>
                    <w:pStyle w:val="24"/>
                    <w:bidi w:val="0"/>
                  </w:pPr>
                </w:p>
              </w:tc>
              <w:tc>
                <w:tcPr>
                  <w:tcW w:w="753" w:type="dxa"/>
                  <w:vMerge w:val="continue"/>
                  <w:tcBorders>
                    <w:left w:val="single" w:color="auto" w:sz="4" w:space="0"/>
                    <w:right w:val="single" w:color="auto" w:sz="4" w:space="0"/>
                  </w:tcBorders>
                  <w:noWrap w:val="0"/>
                  <w:vAlign w:val="center"/>
                </w:tcPr>
                <w:p w14:paraId="78D79CCF">
                  <w:pPr>
                    <w:pStyle w:val="24"/>
                    <w:bidi w:val="0"/>
                  </w:pPr>
                </w:p>
              </w:tc>
              <w:tc>
                <w:tcPr>
                  <w:tcW w:w="1296" w:type="dxa"/>
                  <w:tcBorders>
                    <w:left w:val="single" w:color="auto" w:sz="4" w:space="0"/>
                    <w:right w:val="single" w:color="auto" w:sz="4" w:space="0"/>
                  </w:tcBorders>
                  <w:noWrap w:val="0"/>
                  <w:vAlign w:val="center"/>
                </w:tcPr>
                <w:p w14:paraId="47591F1D">
                  <w:pPr>
                    <w:pStyle w:val="24"/>
                    <w:bidi w:val="0"/>
                  </w:pPr>
                  <w:r>
                    <w:t>NH</w:t>
                  </w:r>
                  <w:r>
                    <w:rPr>
                      <w:vertAlign w:val="subscript"/>
                    </w:rPr>
                    <w:t>3</w:t>
                  </w:r>
                  <w:r>
                    <w:t>-N</w:t>
                  </w:r>
                </w:p>
              </w:tc>
              <w:tc>
                <w:tcPr>
                  <w:tcW w:w="1469" w:type="dxa"/>
                  <w:tcBorders>
                    <w:left w:val="single" w:color="auto" w:sz="4" w:space="0"/>
                  </w:tcBorders>
                  <w:noWrap w:val="0"/>
                  <w:vAlign w:val="center"/>
                </w:tcPr>
                <w:p w14:paraId="4C1839F0">
                  <w:pPr>
                    <w:pStyle w:val="24"/>
                    <w:bidi w:val="0"/>
                  </w:pPr>
                  <w:r>
                    <w:t>45</w:t>
                  </w:r>
                </w:p>
              </w:tc>
            </w:tr>
            <w:tr w14:paraId="3E445E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881" w:type="dxa"/>
                  <w:vMerge w:val="continue"/>
                  <w:noWrap w:val="0"/>
                  <w:vAlign w:val="center"/>
                </w:tcPr>
                <w:p w14:paraId="5C7015E4">
                  <w:pPr>
                    <w:pStyle w:val="24"/>
                    <w:bidi w:val="0"/>
                  </w:pPr>
                </w:p>
              </w:tc>
              <w:tc>
                <w:tcPr>
                  <w:tcW w:w="762" w:type="dxa"/>
                  <w:vMerge w:val="continue"/>
                  <w:tcBorders>
                    <w:right w:val="single" w:color="auto" w:sz="4" w:space="0"/>
                  </w:tcBorders>
                  <w:noWrap w:val="0"/>
                  <w:vAlign w:val="center"/>
                </w:tcPr>
                <w:p w14:paraId="2280EC3D">
                  <w:pPr>
                    <w:pStyle w:val="24"/>
                    <w:bidi w:val="0"/>
                  </w:pPr>
                </w:p>
              </w:tc>
              <w:tc>
                <w:tcPr>
                  <w:tcW w:w="1674" w:type="dxa"/>
                  <w:vMerge w:val="continue"/>
                  <w:tcBorders>
                    <w:left w:val="single" w:color="auto" w:sz="4" w:space="0"/>
                    <w:right w:val="single" w:color="auto" w:sz="4" w:space="0"/>
                  </w:tcBorders>
                  <w:noWrap w:val="0"/>
                  <w:vAlign w:val="center"/>
                </w:tcPr>
                <w:p w14:paraId="2D30CD35">
                  <w:pPr>
                    <w:pStyle w:val="24"/>
                    <w:bidi w:val="0"/>
                  </w:pPr>
                </w:p>
              </w:tc>
              <w:tc>
                <w:tcPr>
                  <w:tcW w:w="1442" w:type="dxa"/>
                  <w:vMerge w:val="continue"/>
                  <w:tcBorders>
                    <w:left w:val="single" w:color="auto" w:sz="4" w:space="0"/>
                    <w:right w:val="single" w:color="auto" w:sz="4" w:space="0"/>
                  </w:tcBorders>
                  <w:noWrap w:val="0"/>
                  <w:vAlign w:val="center"/>
                </w:tcPr>
                <w:p w14:paraId="04E39D4A">
                  <w:pPr>
                    <w:pStyle w:val="24"/>
                    <w:bidi w:val="0"/>
                  </w:pPr>
                </w:p>
              </w:tc>
              <w:tc>
                <w:tcPr>
                  <w:tcW w:w="753" w:type="dxa"/>
                  <w:vMerge w:val="continue"/>
                  <w:tcBorders>
                    <w:left w:val="single" w:color="auto" w:sz="4" w:space="0"/>
                    <w:right w:val="single" w:color="auto" w:sz="4" w:space="0"/>
                  </w:tcBorders>
                  <w:noWrap w:val="0"/>
                  <w:vAlign w:val="center"/>
                </w:tcPr>
                <w:p w14:paraId="7C8A5B31">
                  <w:pPr>
                    <w:pStyle w:val="24"/>
                    <w:bidi w:val="0"/>
                  </w:pPr>
                </w:p>
              </w:tc>
              <w:tc>
                <w:tcPr>
                  <w:tcW w:w="1296" w:type="dxa"/>
                  <w:tcBorders>
                    <w:left w:val="single" w:color="auto" w:sz="4" w:space="0"/>
                    <w:right w:val="single" w:color="auto" w:sz="4" w:space="0"/>
                  </w:tcBorders>
                  <w:noWrap w:val="0"/>
                  <w:vAlign w:val="center"/>
                </w:tcPr>
                <w:p w14:paraId="42B87B5B">
                  <w:pPr>
                    <w:pStyle w:val="24"/>
                    <w:bidi w:val="0"/>
                  </w:pPr>
                  <w:r>
                    <w:t>SS</w:t>
                  </w:r>
                </w:p>
              </w:tc>
              <w:tc>
                <w:tcPr>
                  <w:tcW w:w="1469" w:type="dxa"/>
                  <w:tcBorders>
                    <w:left w:val="single" w:color="auto" w:sz="4" w:space="0"/>
                  </w:tcBorders>
                  <w:noWrap w:val="0"/>
                  <w:vAlign w:val="center"/>
                </w:tcPr>
                <w:p w14:paraId="72F99601">
                  <w:pPr>
                    <w:pStyle w:val="24"/>
                    <w:bidi w:val="0"/>
                  </w:pPr>
                  <w:r>
                    <w:t>400</w:t>
                  </w:r>
                </w:p>
              </w:tc>
            </w:tr>
          </w:tbl>
          <w:p w14:paraId="4954AE61">
            <w:pPr>
              <w:pStyle w:val="23"/>
              <w:bidi w:val="0"/>
              <w:rPr>
                <w:rFonts w:hint="eastAsia"/>
                <w:b/>
                <w:bCs/>
                <w:lang w:eastAsia="zh-CN"/>
              </w:rPr>
            </w:pPr>
            <w:r>
              <w:rPr>
                <w:rFonts w:hint="eastAsia"/>
                <w:b/>
                <w:bCs/>
                <w:lang w:eastAsia="zh-CN"/>
              </w:rPr>
              <w:t>（</w:t>
            </w:r>
            <w:r>
              <w:rPr>
                <w:rFonts w:hint="eastAsia"/>
                <w:b/>
                <w:bCs/>
                <w:lang w:val="en-US" w:eastAsia="zh-CN"/>
              </w:rPr>
              <w:t>3</w:t>
            </w:r>
            <w:r>
              <w:rPr>
                <w:rFonts w:hint="eastAsia"/>
                <w:b/>
                <w:bCs/>
                <w:lang w:eastAsia="zh-CN"/>
              </w:rPr>
              <w:t>）</w:t>
            </w:r>
            <w:r>
              <w:rPr>
                <w:b/>
                <w:bCs/>
              </w:rPr>
              <w:t>依托园区污水处理厂处理可行性分析</w:t>
            </w:r>
          </w:p>
          <w:p w14:paraId="54907A63">
            <w:pPr>
              <w:autoSpaceDE w:val="0"/>
              <w:autoSpaceDN w:val="0"/>
              <w:adjustRightInd w:val="0"/>
              <w:snapToGrid w:val="0"/>
              <w:spacing w:line="348" w:lineRule="auto"/>
              <w:ind w:firstLine="480" w:firstLineChars="200"/>
              <w:rPr>
                <w:color w:val="auto"/>
                <w:kern w:val="0"/>
                <w:sz w:val="24"/>
              </w:rPr>
            </w:pPr>
            <w:r>
              <w:rPr>
                <w:bCs/>
                <w:color w:val="auto"/>
                <w:sz w:val="24"/>
              </w:rPr>
              <w:t>本项目位于</w:t>
            </w:r>
            <w:r>
              <w:rPr>
                <w:rFonts w:hint="eastAsia"/>
                <w:bCs/>
                <w:color w:val="auto"/>
                <w:sz w:val="24"/>
              </w:rPr>
              <w:t>宁夏</w:t>
            </w:r>
            <w:r>
              <w:rPr>
                <w:bCs/>
                <w:color w:val="auto"/>
                <w:sz w:val="24"/>
              </w:rPr>
              <w:t>固原经济开发区</w:t>
            </w:r>
            <w:r>
              <w:rPr>
                <w:rFonts w:hint="eastAsia"/>
                <w:bCs/>
                <w:color w:val="auto"/>
                <w:sz w:val="24"/>
                <w:lang w:val="en-US" w:eastAsia="zh-CN"/>
              </w:rPr>
              <w:t>新材料产业园</w:t>
            </w:r>
            <w:r>
              <w:rPr>
                <w:bCs/>
                <w:color w:val="auto"/>
                <w:sz w:val="24"/>
              </w:rPr>
              <w:t>，</w:t>
            </w:r>
            <w:r>
              <w:rPr>
                <w:rFonts w:hint="eastAsia"/>
                <w:bCs/>
                <w:color w:val="auto"/>
                <w:sz w:val="24"/>
                <w:lang w:eastAsia="zh-CN"/>
              </w:rPr>
              <w:t>片区</w:t>
            </w:r>
            <w:r>
              <w:rPr>
                <w:bCs/>
                <w:color w:val="auto"/>
                <w:sz w:val="24"/>
              </w:rPr>
              <w:t>管网集中收集的污水全部进入集中泵站，由泵站统一调配至</w:t>
            </w:r>
            <w:r>
              <w:rPr>
                <w:rFonts w:hint="eastAsia"/>
                <w:bCs/>
                <w:color w:val="auto"/>
                <w:sz w:val="24"/>
              </w:rPr>
              <w:t>新材料产业园污水处理厂处理</w:t>
            </w:r>
            <w:r>
              <w:rPr>
                <w:bCs/>
                <w:color w:val="auto"/>
                <w:sz w:val="24"/>
              </w:rPr>
              <w:t>。</w:t>
            </w:r>
            <w:r>
              <w:rPr>
                <w:rFonts w:hint="eastAsia"/>
                <w:bCs/>
                <w:color w:val="auto"/>
                <w:sz w:val="24"/>
              </w:rPr>
              <w:t>新材料产业园污水处理厂处理</w:t>
            </w:r>
            <w:r>
              <w:rPr>
                <w:bCs/>
                <w:color w:val="auto"/>
                <w:sz w:val="24"/>
              </w:rPr>
              <w:t>采用的工艺为“</w:t>
            </w:r>
            <w:r>
              <w:rPr>
                <w:rFonts w:hint="eastAsia"/>
                <w:bCs/>
                <w:color w:val="auto"/>
                <w:sz w:val="24"/>
              </w:rPr>
              <w:t>水解酸化+A</w:t>
            </w:r>
            <w:r>
              <w:rPr>
                <w:rFonts w:hint="eastAsia"/>
                <w:bCs/>
                <w:color w:val="auto"/>
                <w:sz w:val="24"/>
                <w:vertAlign w:val="subscript"/>
              </w:rPr>
              <w:t>2</w:t>
            </w:r>
            <w:r>
              <w:rPr>
                <w:rFonts w:hint="eastAsia"/>
                <w:bCs/>
                <w:color w:val="auto"/>
                <w:sz w:val="24"/>
              </w:rPr>
              <w:t>/O+臭氧氧化+BAF生物滤池</w:t>
            </w:r>
            <w:r>
              <w:rPr>
                <w:bCs/>
                <w:color w:val="auto"/>
                <w:sz w:val="24"/>
              </w:rPr>
              <w:t>”，设计处理能力</w:t>
            </w:r>
            <w:r>
              <w:rPr>
                <w:rFonts w:hint="eastAsia"/>
                <w:bCs/>
                <w:color w:val="auto"/>
                <w:sz w:val="24"/>
                <w:lang w:val="en-US" w:eastAsia="zh-CN"/>
              </w:rPr>
              <w:t>15000</w:t>
            </w:r>
            <w:r>
              <w:rPr>
                <w:bCs/>
                <w:color w:val="auto"/>
                <w:sz w:val="24"/>
              </w:rPr>
              <w:t>m</w:t>
            </w:r>
            <w:r>
              <w:rPr>
                <w:bCs/>
                <w:color w:val="auto"/>
                <w:sz w:val="24"/>
                <w:vertAlign w:val="superscript"/>
              </w:rPr>
              <w:t>3</w:t>
            </w:r>
            <w:r>
              <w:rPr>
                <w:bCs/>
                <w:color w:val="auto"/>
                <w:sz w:val="24"/>
              </w:rPr>
              <w:t>/d，目前处理水量约</w:t>
            </w:r>
            <w:r>
              <w:rPr>
                <w:rFonts w:hint="eastAsia"/>
                <w:bCs/>
                <w:color w:val="auto"/>
                <w:sz w:val="24"/>
                <w:lang w:val="en-US" w:eastAsia="zh-CN"/>
              </w:rPr>
              <w:t>200-300</w:t>
            </w:r>
            <w:r>
              <w:rPr>
                <w:bCs/>
                <w:color w:val="auto"/>
                <w:sz w:val="24"/>
              </w:rPr>
              <w:t>m</w:t>
            </w:r>
            <w:r>
              <w:rPr>
                <w:bCs/>
                <w:color w:val="auto"/>
                <w:sz w:val="24"/>
                <w:vertAlign w:val="superscript"/>
              </w:rPr>
              <w:t>3</w:t>
            </w:r>
            <w:r>
              <w:rPr>
                <w:bCs/>
                <w:color w:val="auto"/>
                <w:sz w:val="24"/>
              </w:rPr>
              <w:t>/d，剩余处理能力</w:t>
            </w:r>
            <w:r>
              <w:rPr>
                <w:rFonts w:hint="eastAsia"/>
                <w:bCs/>
                <w:color w:val="auto"/>
                <w:sz w:val="24"/>
                <w:lang w:val="en-US" w:eastAsia="zh-CN"/>
              </w:rPr>
              <w:t>14500</w:t>
            </w:r>
            <w:r>
              <w:rPr>
                <w:bCs/>
                <w:color w:val="auto"/>
                <w:sz w:val="24"/>
              </w:rPr>
              <w:t>m</w:t>
            </w:r>
            <w:r>
              <w:rPr>
                <w:bCs/>
                <w:color w:val="auto"/>
                <w:sz w:val="24"/>
                <w:vertAlign w:val="superscript"/>
              </w:rPr>
              <w:t>3</w:t>
            </w:r>
            <w:r>
              <w:rPr>
                <w:bCs/>
                <w:color w:val="auto"/>
                <w:sz w:val="24"/>
              </w:rPr>
              <w:t>/d</w:t>
            </w:r>
            <w:r>
              <w:rPr>
                <w:rFonts w:hint="eastAsia"/>
                <w:bCs/>
                <w:color w:val="auto"/>
                <w:sz w:val="24"/>
              </w:rPr>
              <w:t>，</w:t>
            </w:r>
            <w:r>
              <w:rPr>
                <w:bCs/>
                <w:color w:val="auto"/>
                <w:sz w:val="24"/>
              </w:rPr>
              <w:t>接管水质要求为</w:t>
            </w:r>
            <w:r>
              <w:rPr>
                <w:rFonts w:hint="eastAsia"/>
                <w:bCs/>
                <w:color w:val="auto"/>
                <w:sz w:val="24"/>
              </w:rPr>
              <w:t>特殊工业废水应当在各工业企业内部自行处理，有行业要求的需满足行业污染物排放标准，同时还得达到《污水排入城市下水道水质标准》（CB/T31962-2015）A 等级要求后，方可排入园区排水系统。本项目处于新材料产业园污水处理厂处理接管范围内，废水排放量为</w:t>
            </w:r>
            <w:r>
              <w:rPr>
                <w:rFonts w:hint="eastAsia"/>
                <w:color w:val="auto"/>
                <w:kern w:val="0"/>
                <w:sz w:val="24"/>
                <w:lang w:val="en-US" w:eastAsia="zh-CN"/>
              </w:rPr>
              <w:t>200</w:t>
            </w:r>
            <w:r>
              <w:rPr>
                <w:color w:val="auto"/>
                <w:kern w:val="0"/>
                <w:sz w:val="24"/>
              </w:rPr>
              <w:t>m</w:t>
            </w:r>
            <w:r>
              <w:rPr>
                <w:color w:val="auto"/>
                <w:kern w:val="0"/>
                <w:sz w:val="24"/>
                <w:vertAlign w:val="superscript"/>
              </w:rPr>
              <w:t>3</w:t>
            </w:r>
            <w:r>
              <w:rPr>
                <w:color w:val="auto"/>
                <w:kern w:val="0"/>
                <w:sz w:val="24"/>
              </w:rPr>
              <w:t>/a</w:t>
            </w:r>
            <w:r>
              <w:rPr>
                <w:bCs/>
                <w:color w:val="auto"/>
                <w:sz w:val="24"/>
              </w:rPr>
              <w:t>，</w:t>
            </w:r>
            <w:r>
              <w:rPr>
                <w:rFonts w:hint="eastAsia"/>
                <w:bCs/>
                <w:color w:val="auto"/>
                <w:sz w:val="24"/>
              </w:rPr>
              <w:t>且污水处理站出水水质符合</w:t>
            </w:r>
            <w:r>
              <w:rPr>
                <w:bCs/>
                <w:color w:val="auto"/>
                <w:sz w:val="24"/>
              </w:rPr>
              <w:t>接管标准要求</w:t>
            </w:r>
            <w:r>
              <w:rPr>
                <w:rFonts w:hint="eastAsia"/>
                <w:bCs/>
                <w:color w:val="auto"/>
                <w:sz w:val="24"/>
              </w:rPr>
              <w:t>，因此，</w:t>
            </w:r>
            <w:r>
              <w:rPr>
                <w:bCs/>
                <w:color w:val="auto"/>
                <w:sz w:val="24"/>
              </w:rPr>
              <w:t>本项目</w:t>
            </w:r>
            <w:r>
              <w:rPr>
                <w:rFonts w:hint="eastAsia"/>
                <w:bCs/>
                <w:color w:val="auto"/>
                <w:sz w:val="24"/>
                <w:lang w:eastAsia="zh-CN"/>
              </w:rPr>
              <w:t>生活污水经化粪池</w:t>
            </w:r>
            <w:r>
              <w:rPr>
                <w:bCs/>
                <w:color w:val="auto"/>
                <w:sz w:val="24"/>
              </w:rPr>
              <w:t>处理后排入</w:t>
            </w:r>
            <w:r>
              <w:rPr>
                <w:rFonts w:hint="eastAsia"/>
                <w:bCs/>
                <w:color w:val="auto"/>
                <w:sz w:val="24"/>
                <w:lang w:eastAsia="zh-CN"/>
              </w:rPr>
              <w:t>市政污水管网</w:t>
            </w:r>
            <w:r>
              <w:rPr>
                <w:rFonts w:hint="eastAsia"/>
                <w:bCs/>
                <w:color w:val="auto"/>
                <w:sz w:val="24"/>
              </w:rPr>
              <w:t>，最终进入新材料产业园污水处理厂处理</w:t>
            </w:r>
            <w:r>
              <w:rPr>
                <w:bCs/>
                <w:color w:val="auto"/>
                <w:sz w:val="24"/>
              </w:rPr>
              <w:t>可行。</w:t>
            </w:r>
          </w:p>
          <w:p w14:paraId="6690451E">
            <w:pPr>
              <w:pStyle w:val="23"/>
              <w:bidi w:val="0"/>
              <w:rPr>
                <w:rFonts w:hint="eastAsia"/>
                <w:b/>
                <w:bCs/>
                <w:lang w:eastAsia="zh-CN"/>
              </w:rPr>
            </w:pPr>
            <w:r>
              <w:rPr>
                <w:rFonts w:hint="eastAsia"/>
                <w:b/>
                <w:bCs/>
                <w:lang w:eastAsia="zh-CN"/>
              </w:rPr>
              <w:t>（</w:t>
            </w:r>
            <w:r>
              <w:rPr>
                <w:rFonts w:hint="eastAsia"/>
                <w:b/>
                <w:bCs/>
                <w:lang w:val="en-US" w:eastAsia="zh-CN"/>
              </w:rPr>
              <w:t>4</w:t>
            </w:r>
            <w:r>
              <w:rPr>
                <w:rFonts w:hint="eastAsia"/>
                <w:b/>
                <w:bCs/>
                <w:lang w:eastAsia="zh-CN"/>
              </w:rPr>
              <w:t>）</w:t>
            </w:r>
            <w:r>
              <w:rPr>
                <w:rFonts w:hint="default"/>
                <w:b/>
                <w:bCs/>
              </w:rPr>
              <w:t>运营期废水监测要求</w:t>
            </w:r>
          </w:p>
          <w:p w14:paraId="3D32604B">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rPr>
              <w:t xml:space="preserve">依据《排污单位自行监测技术指南 </w:t>
            </w:r>
            <w:r>
              <w:rPr>
                <w:rFonts w:hint="eastAsia" w:cs="Times New Roman"/>
                <w:color w:val="auto"/>
                <w:lang w:val="en-US" w:eastAsia="zh-CN"/>
              </w:rPr>
              <w:t>总则</w:t>
            </w:r>
            <w:r>
              <w:rPr>
                <w:rFonts w:hint="default" w:ascii="Times New Roman" w:hAnsi="Times New Roman" w:cs="Times New Roman"/>
                <w:color w:val="auto"/>
              </w:rPr>
              <w:t>》（HJ 8</w:t>
            </w:r>
            <w:r>
              <w:rPr>
                <w:rFonts w:hint="eastAsia" w:cs="Times New Roman"/>
                <w:color w:val="auto"/>
                <w:lang w:val="en-US" w:eastAsia="zh-CN"/>
              </w:rPr>
              <w:t>19</w:t>
            </w:r>
            <w:r>
              <w:rPr>
                <w:rFonts w:hint="default" w:ascii="Times New Roman" w:hAnsi="Times New Roman" w:cs="Times New Roman"/>
                <w:color w:val="auto"/>
              </w:rPr>
              <w:t>-2017）制定监测计划，废水监测内容详见下表</w:t>
            </w:r>
            <w:r>
              <w:rPr>
                <w:rFonts w:hint="default" w:ascii="Times New Roman" w:hAnsi="Times New Roman" w:cs="Times New Roman"/>
                <w:color w:val="auto"/>
                <w:lang w:val="en-US" w:eastAsia="zh-CN"/>
              </w:rPr>
              <w:t>：</w:t>
            </w:r>
          </w:p>
          <w:p w14:paraId="25F8C3CE">
            <w:pPr>
              <w:pStyle w:val="25"/>
              <w:bidi w:val="0"/>
              <w:rPr>
                <w:rFonts w:hint="default"/>
                <w:color w:val="auto"/>
                <w:lang w:val="zh-CN" w:eastAsia="zh-CN"/>
              </w:rPr>
            </w:pPr>
            <w:r>
              <w:rPr>
                <w:rFonts w:hint="default"/>
                <w:color w:val="auto"/>
                <w:lang w:val="zh-CN" w:eastAsia="zh-CN"/>
              </w:rPr>
              <w:t>表</w:t>
            </w:r>
            <w:r>
              <w:rPr>
                <w:rFonts w:hint="eastAsia"/>
                <w:color w:val="auto"/>
                <w:lang w:val="en-US" w:eastAsia="zh-CN"/>
              </w:rPr>
              <w:t>4-10</w:t>
            </w:r>
            <w:r>
              <w:rPr>
                <w:rFonts w:hint="default"/>
                <w:color w:val="auto"/>
                <w:lang w:val="zh-CN" w:eastAsia="zh-CN"/>
              </w:rPr>
              <w:t xml:space="preserve"> </w:t>
            </w:r>
            <w:r>
              <w:rPr>
                <w:rFonts w:hint="eastAsia"/>
                <w:color w:val="auto"/>
                <w:lang w:val="en-US" w:eastAsia="zh-CN"/>
              </w:rPr>
              <w:t xml:space="preserve">               </w:t>
            </w:r>
            <w:r>
              <w:rPr>
                <w:rFonts w:hint="default"/>
                <w:color w:val="auto"/>
                <w:lang w:val="zh-CN" w:eastAsia="zh-CN"/>
              </w:rPr>
              <w:t xml:space="preserve"> </w:t>
            </w:r>
            <w:r>
              <w:rPr>
                <w:rFonts w:hint="default"/>
                <w:color w:val="auto"/>
                <w:lang w:val="en-US" w:eastAsia="zh-CN"/>
              </w:rPr>
              <w:t>废水</w:t>
            </w:r>
            <w:r>
              <w:rPr>
                <w:rFonts w:hint="default"/>
                <w:color w:val="auto"/>
                <w:lang w:val="zh-CN" w:eastAsia="zh-CN"/>
              </w:rPr>
              <w:t>监测计划表</w:t>
            </w:r>
          </w:p>
          <w:tbl>
            <w:tblPr>
              <w:tblStyle w:val="1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8"/>
              <w:gridCol w:w="1665"/>
              <w:gridCol w:w="3866"/>
              <w:gridCol w:w="1826"/>
            </w:tblGrid>
            <w:tr w14:paraId="3FE63D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6" w:type="dxa"/>
                  <w:noWrap w:val="0"/>
                  <w:vAlign w:val="center"/>
                </w:tcPr>
                <w:p w14:paraId="147B01BA">
                  <w:pPr>
                    <w:pStyle w:val="24"/>
                    <w:bidi w:val="0"/>
                    <w:jc w:val="center"/>
                    <w:rPr>
                      <w:rFonts w:hint="default"/>
                      <w:b/>
                      <w:bCs/>
                      <w:color w:val="auto"/>
                    </w:rPr>
                  </w:pPr>
                  <w:r>
                    <w:rPr>
                      <w:rFonts w:hint="default"/>
                      <w:b/>
                      <w:bCs/>
                      <w:color w:val="auto"/>
                    </w:rPr>
                    <w:t>监测要素</w:t>
                  </w:r>
                </w:p>
              </w:tc>
              <w:tc>
                <w:tcPr>
                  <w:tcW w:w="1677" w:type="dxa"/>
                  <w:noWrap w:val="0"/>
                  <w:vAlign w:val="center"/>
                </w:tcPr>
                <w:p w14:paraId="31414BE4">
                  <w:pPr>
                    <w:pStyle w:val="24"/>
                    <w:bidi w:val="0"/>
                    <w:jc w:val="center"/>
                    <w:rPr>
                      <w:rFonts w:hint="default"/>
                      <w:b/>
                      <w:bCs/>
                      <w:color w:val="auto"/>
                    </w:rPr>
                  </w:pPr>
                  <w:r>
                    <w:rPr>
                      <w:rFonts w:hint="default"/>
                      <w:b/>
                      <w:bCs/>
                      <w:color w:val="auto"/>
                    </w:rPr>
                    <w:t>监测点位</w:t>
                  </w:r>
                </w:p>
              </w:tc>
              <w:tc>
                <w:tcPr>
                  <w:tcW w:w="3894" w:type="dxa"/>
                  <w:noWrap w:val="0"/>
                  <w:vAlign w:val="center"/>
                </w:tcPr>
                <w:p w14:paraId="727E1347">
                  <w:pPr>
                    <w:pStyle w:val="24"/>
                    <w:bidi w:val="0"/>
                    <w:jc w:val="center"/>
                    <w:rPr>
                      <w:rFonts w:hint="default"/>
                      <w:b/>
                      <w:bCs/>
                      <w:color w:val="auto"/>
                    </w:rPr>
                  </w:pPr>
                  <w:r>
                    <w:rPr>
                      <w:rFonts w:hint="default"/>
                      <w:b/>
                      <w:bCs/>
                      <w:color w:val="auto"/>
                    </w:rPr>
                    <w:t>监测因子</w:t>
                  </w:r>
                </w:p>
              </w:tc>
              <w:tc>
                <w:tcPr>
                  <w:tcW w:w="1839" w:type="dxa"/>
                  <w:noWrap w:val="0"/>
                  <w:vAlign w:val="center"/>
                </w:tcPr>
                <w:p w14:paraId="77BFCC20">
                  <w:pPr>
                    <w:pStyle w:val="24"/>
                    <w:bidi w:val="0"/>
                    <w:jc w:val="center"/>
                    <w:rPr>
                      <w:rFonts w:hint="default"/>
                      <w:b/>
                      <w:bCs/>
                      <w:color w:val="auto"/>
                    </w:rPr>
                  </w:pPr>
                  <w:r>
                    <w:rPr>
                      <w:rFonts w:hint="default"/>
                      <w:b/>
                      <w:bCs/>
                      <w:color w:val="auto"/>
                    </w:rPr>
                    <w:t>监测频次</w:t>
                  </w:r>
                </w:p>
              </w:tc>
            </w:tr>
            <w:tr w14:paraId="3D8142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276" w:type="dxa"/>
                  <w:noWrap w:val="0"/>
                  <w:vAlign w:val="center"/>
                </w:tcPr>
                <w:p w14:paraId="2406FD12">
                  <w:pPr>
                    <w:pStyle w:val="24"/>
                    <w:bidi w:val="0"/>
                    <w:jc w:val="center"/>
                    <w:rPr>
                      <w:rFonts w:hint="default"/>
                      <w:color w:val="auto"/>
                    </w:rPr>
                  </w:pPr>
                  <w:r>
                    <w:rPr>
                      <w:rFonts w:hint="default"/>
                      <w:color w:val="auto"/>
                    </w:rPr>
                    <w:t>废水</w:t>
                  </w:r>
                </w:p>
              </w:tc>
              <w:tc>
                <w:tcPr>
                  <w:tcW w:w="1677" w:type="dxa"/>
                  <w:noWrap w:val="0"/>
                  <w:vAlign w:val="center"/>
                </w:tcPr>
                <w:p w14:paraId="4F106815">
                  <w:pPr>
                    <w:pStyle w:val="24"/>
                    <w:bidi w:val="0"/>
                    <w:jc w:val="center"/>
                    <w:rPr>
                      <w:rFonts w:hint="default"/>
                      <w:color w:val="auto"/>
                    </w:rPr>
                  </w:pPr>
                  <w:r>
                    <w:rPr>
                      <w:rFonts w:hint="eastAsia"/>
                      <w:color w:val="auto"/>
                      <w:lang w:val="en-US" w:eastAsia="zh-CN"/>
                    </w:rPr>
                    <w:t>厂区废水</w:t>
                  </w:r>
                  <w:r>
                    <w:rPr>
                      <w:rFonts w:hint="default"/>
                      <w:color w:val="auto"/>
                    </w:rPr>
                    <w:t>总排放口</w:t>
                  </w:r>
                </w:p>
              </w:tc>
              <w:tc>
                <w:tcPr>
                  <w:tcW w:w="3894" w:type="dxa"/>
                  <w:noWrap w:val="0"/>
                  <w:vAlign w:val="center"/>
                </w:tcPr>
                <w:p w14:paraId="4719D0CA">
                  <w:pPr>
                    <w:pStyle w:val="24"/>
                    <w:bidi w:val="0"/>
                    <w:jc w:val="center"/>
                    <w:rPr>
                      <w:rFonts w:hint="eastAsia" w:eastAsia="宋体"/>
                      <w:color w:val="auto"/>
                      <w:lang w:val="en-US" w:eastAsia="zh-CN"/>
                    </w:rPr>
                  </w:pPr>
                  <w:r>
                    <w:rPr>
                      <w:rFonts w:hint="eastAsia"/>
                      <w:color w:val="auto"/>
                      <w:lang w:val="en-US" w:eastAsia="zh-CN"/>
                    </w:rPr>
                    <w:t>pH、COD、BOD</w:t>
                  </w:r>
                  <w:r>
                    <w:rPr>
                      <w:rFonts w:hint="eastAsia"/>
                      <w:color w:val="auto"/>
                      <w:vertAlign w:val="subscript"/>
                      <w:lang w:val="en-US" w:eastAsia="zh-CN"/>
                    </w:rPr>
                    <w:t>5</w:t>
                  </w:r>
                  <w:r>
                    <w:rPr>
                      <w:rFonts w:hint="eastAsia"/>
                      <w:color w:val="auto"/>
                      <w:lang w:val="en-US" w:eastAsia="zh-CN"/>
                    </w:rPr>
                    <w:t>、SS、NH</w:t>
                  </w:r>
                  <w:r>
                    <w:rPr>
                      <w:rFonts w:hint="eastAsia"/>
                      <w:color w:val="auto"/>
                      <w:vertAlign w:val="subscript"/>
                      <w:lang w:val="en-US" w:eastAsia="zh-CN"/>
                    </w:rPr>
                    <w:t>3</w:t>
                  </w:r>
                  <w:r>
                    <w:rPr>
                      <w:rFonts w:hint="eastAsia"/>
                      <w:color w:val="auto"/>
                      <w:lang w:val="en-US" w:eastAsia="zh-CN"/>
                    </w:rPr>
                    <w:t>-N</w:t>
                  </w:r>
                </w:p>
              </w:tc>
              <w:tc>
                <w:tcPr>
                  <w:tcW w:w="1839" w:type="dxa"/>
                  <w:noWrap w:val="0"/>
                  <w:vAlign w:val="center"/>
                </w:tcPr>
                <w:p w14:paraId="1B141B53">
                  <w:pPr>
                    <w:pStyle w:val="24"/>
                    <w:bidi w:val="0"/>
                    <w:jc w:val="center"/>
                    <w:rPr>
                      <w:rFonts w:hint="eastAsia"/>
                      <w:color w:val="auto"/>
                      <w:lang w:eastAsia="zh-CN"/>
                    </w:rPr>
                  </w:pPr>
                  <w:r>
                    <w:rPr>
                      <w:rFonts w:hint="default"/>
                      <w:color w:val="auto"/>
                    </w:rPr>
                    <w:t>1次/</w:t>
                  </w:r>
                  <w:r>
                    <w:rPr>
                      <w:rFonts w:hint="eastAsia"/>
                      <w:color w:val="auto"/>
                      <w:lang w:val="en-US" w:eastAsia="zh-CN"/>
                    </w:rPr>
                    <w:t>年</w:t>
                  </w:r>
                </w:p>
              </w:tc>
            </w:tr>
          </w:tbl>
          <w:p w14:paraId="060AB4F6">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噪声</w:t>
            </w:r>
          </w:p>
          <w:p w14:paraId="2B63D770">
            <w:pPr>
              <w:pStyle w:val="44"/>
              <w:bidi w:val="0"/>
              <w:rPr>
                <w:rFonts w:hint="default" w:ascii="Times New Roman" w:hAnsi="Times New Roman" w:cs="Times New Roman"/>
                <w:color w:val="auto"/>
              </w:rPr>
            </w:pPr>
            <w:r>
              <w:rPr>
                <w:rFonts w:hint="default" w:ascii="Times New Roman" w:hAnsi="Times New Roman" w:cs="Times New Roman"/>
                <w:color w:val="auto"/>
              </w:rPr>
              <w:t>（1）噪声源强</w:t>
            </w:r>
          </w:p>
          <w:p w14:paraId="3652EC3D">
            <w:pPr>
              <w:pStyle w:val="44"/>
              <w:bidi w:val="0"/>
              <w:rPr>
                <w:rFonts w:hint="default" w:ascii="Times New Roman" w:hAnsi="Times New Roman" w:cs="Times New Roman"/>
                <w:color w:val="auto"/>
              </w:rPr>
            </w:pPr>
            <w:r>
              <w:rPr>
                <w:color w:val="auto"/>
                <w:sz w:val="24"/>
              </w:rPr>
              <w:t>本项目运营期噪声主要为</w:t>
            </w:r>
            <w:r>
              <w:rPr>
                <w:rFonts w:hint="eastAsia" w:cs="Times New Roman"/>
                <w:color w:val="auto"/>
                <w:lang w:val="en-US" w:eastAsia="zh-CN"/>
              </w:rPr>
              <w:t>丙烷压缩机、丙烷灌装泵</w:t>
            </w:r>
            <w:r>
              <w:rPr>
                <w:rFonts w:hint="default" w:ascii="Times New Roman" w:hAnsi="Times New Roman" w:cs="Times New Roman"/>
                <w:color w:val="auto"/>
              </w:rPr>
              <w:t>，噪声值约为</w:t>
            </w:r>
            <w:r>
              <w:rPr>
                <w:rFonts w:hint="default" w:ascii="Times New Roman" w:hAnsi="Times New Roman" w:cs="Times New Roman"/>
                <w:color w:val="auto"/>
                <w:lang w:val="en-US" w:eastAsia="zh-CN"/>
              </w:rPr>
              <w:t>75-</w:t>
            </w:r>
            <w:r>
              <w:rPr>
                <w:rFonts w:hint="eastAsia" w:cs="Times New Roman"/>
                <w:color w:val="auto"/>
                <w:lang w:val="en-US" w:eastAsia="zh-CN"/>
              </w:rPr>
              <w:t>90</w:t>
            </w:r>
            <w:r>
              <w:rPr>
                <w:rFonts w:hint="default" w:ascii="Times New Roman" w:hAnsi="Times New Roman" w:cs="Times New Roman"/>
                <w:color w:val="auto"/>
              </w:rPr>
              <w:t>dB(A)。</w:t>
            </w:r>
          </w:p>
          <w:p w14:paraId="78A9499A">
            <w:pPr>
              <w:pStyle w:val="25"/>
              <w:bidi w:val="0"/>
              <w:rPr>
                <w:rFonts w:hint="default"/>
                <w:color w:val="auto"/>
                <w:lang w:val="zh-CN" w:eastAsia="zh-CN"/>
              </w:rPr>
            </w:pPr>
            <w:r>
              <w:rPr>
                <w:rFonts w:hint="default"/>
                <w:color w:val="auto"/>
                <w:lang w:val="zh-CN" w:eastAsia="zh-CN"/>
              </w:rPr>
              <w:t>表</w:t>
            </w:r>
            <w:r>
              <w:rPr>
                <w:rFonts w:hint="eastAsia"/>
                <w:color w:val="auto"/>
                <w:lang w:val="en-US" w:eastAsia="zh-CN"/>
              </w:rPr>
              <w:t xml:space="preserve">4-11                    </w:t>
            </w:r>
            <w:r>
              <w:rPr>
                <w:rFonts w:hint="default"/>
                <w:color w:val="auto"/>
                <w:lang w:val="zh-CN" w:eastAsia="zh-CN"/>
              </w:rPr>
              <w:t xml:space="preserve"> 项目噪声参数表</w:t>
            </w:r>
          </w:p>
          <w:tbl>
            <w:tblPr>
              <w:tblStyle w:val="17"/>
              <w:tblW w:w="491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89"/>
              <w:gridCol w:w="427"/>
              <w:gridCol w:w="823"/>
              <w:gridCol w:w="636"/>
              <w:gridCol w:w="426"/>
              <w:gridCol w:w="426"/>
              <w:gridCol w:w="357"/>
              <w:gridCol w:w="450"/>
              <w:gridCol w:w="824"/>
              <w:gridCol w:w="532"/>
              <w:gridCol w:w="824"/>
              <w:gridCol w:w="824"/>
              <w:gridCol w:w="486"/>
            </w:tblGrid>
            <w:tr w14:paraId="6DAE91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restart"/>
                  <w:noWrap w:val="0"/>
                  <w:vAlign w:val="center"/>
                </w:tcPr>
                <w:p w14:paraId="291152BD">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586" w:type="pct"/>
                  <w:vMerge w:val="restart"/>
                  <w:noWrap w:val="0"/>
                  <w:vAlign w:val="center"/>
                </w:tcPr>
                <w:p w14:paraId="6EE0FF73">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声源</w:t>
                  </w:r>
                </w:p>
                <w:p w14:paraId="3FA01E6C">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252" w:type="pct"/>
                  <w:vMerge w:val="restart"/>
                  <w:noWrap w:val="0"/>
                  <w:vAlign w:val="center"/>
                </w:tcPr>
                <w:p w14:paraId="67A462B3">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型号</w:t>
                  </w:r>
                </w:p>
              </w:tc>
              <w:tc>
                <w:tcPr>
                  <w:tcW w:w="486" w:type="pct"/>
                  <w:noWrap w:val="0"/>
                  <w:vAlign w:val="center"/>
                </w:tcPr>
                <w:p w14:paraId="090C7CFA">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声源源强</w:t>
                  </w:r>
                </w:p>
              </w:tc>
              <w:tc>
                <w:tcPr>
                  <w:tcW w:w="376" w:type="pct"/>
                  <w:vMerge w:val="restart"/>
                  <w:noWrap w:val="0"/>
                  <w:vAlign w:val="center"/>
                </w:tcPr>
                <w:p w14:paraId="0D640F35">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声源控制措施</w:t>
                  </w:r>
                </w:p>
              </w:tc>
              <w:tc>
                <w:tcPr>
                  <w:tcW w:w="715" w:type="pct"/>
                  <w:gridSpan w:val="3"/>
                  <w:noWrap w:val="0"/>
                  <w:vAlign w:val="center"/>
                </w:tcPr>
                <w:p w14:paraId="15E2DF69">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空间相对位置/m</w:t>
                  </w:r>
                </w:p>
              </w:tc>
              <w:tc>
                <w:tcPr>
                  <w:tcW w:w="266" w:type="pct"/>
                  <w:vMerge w:val="restart"/>
                  <w:noWrap w:val="0"/>
                  <w:vAlign w:val="center"/>
                </w:tcPr>
                <w:p w14:paraId="2F1C8CC2">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距离内边界距离/m</w:t>
                  </w:r>
                </w:p>
              </w:tc>
              <w:tc>
                <w:tcPr>
                  <w:tcW w:w="486" w:type="pct"/>
                  <w:vMerge w:val="restart"/>
                  <w:noWrap w:val="0"/>
                  <w:vAlign w:val="center"/>
                </w:tcPr>
                <w:p w14:paraId="617B82B3">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室内边界声级/dB(A)</w:t>
                  </w:r>
                </w:p>
              </w:tc>
              <w:tc>
                <w:tcPr>
                  <w:tcW w:w="314" w:type="pct"/>
                  <w:vMerge w:val="restart"/>
                  <w:noWrap w:val="0"/>
                  <w:vAlign w:val="center"/>
                </w:tcPr>
                <w:p w14:paraId="7A59FB27">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运行时段</w:t>
                  </w:r>
                </w:p>
              </w:tc>
              <w:tc>
                <w:tcPr>
                  <w:tcW w:w="486" w:type="pct"/>
                  <w:vMerge w:val="restart"/>
                  <w:noWrap w:val="0"/>
                  <w:vAlign w:val="center"/>
                </w:tcPr>
                <w:p w14:paraId="08915187">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建筑物损失/dB(A)</w:t>
                  </w:r>
                </w:p>
              </w:tc>
              <w:tc>
                <w:tcPr>
                  <w:tcW w:w="775" w:type="pct"/>
                  <w:gridSpan w:val="2"/>
                  <w:noWrap w:val="0"/>
                  <w:vAlign w:val="center"/>
                </w:tcPr>
                <w:p w14:paraId="6AD69115">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建筑物外</w:t>
                  </w:r>
                </w:p>
                <w:p w14:paraId="39A3F39C">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噪声</w:t>
                  </w:r>
                </w:p>
              </w:tc>
            </w:tr>
            <w:tr w14:paraId="6C5B5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vMerge w:val="continue"/>
                  <w:noWrap w:val="0"/>
                  <w:vAlign w:val="center"/>
                </w:tcPr>
                <w:p w14:paraId="34C19725">
                  <w:pPr>
                    <w:pStyle w:val="24"/>
                    <w:bidi w:val="0"/>
                    <w:jc w:val="center"/>
                    <w:rPr>
                      <w:rFonts w:hint="default" w:ascii="Times New Roman" w:hAnsi="Times New Roman" w:eastAsia="宋体" w:cs="Times New Roman"/>
                      <w:b/>
                      <w:bCs/>
                      <w:color w:val="auto"/>
                    </w:rPr>
                  </w:pPr>
                </w:p>
              </w:tc>
              <w:tc>
                <w:tcPr>
                  <w:tcW w:w="586" w:type="pct"/>
                  <w:vMerge w:val="continue"/>
                  <w:noWrap w:val="0"/>
                  <w:vAlign w:val="center"/>
                </w:tcPr>
                <w:p w14:paraId="1EE2ED2C">
                  <w:pPr>
                    <w:pStyle w:val="24"/>
                    <w:bidi w:val="0"/>
                    <w:jc w:val="center"/>
                    <w:rPr>
                      <w:rFonts w:hint="default" w:ascii="Times New Roman" w:hAnsi="Times New Roman" w:eastAsia="宋体" w:cs="Times New Roman"/>
                      <w:b/>
                      <w:bCs/>
                      <w:color w:val="auto"/>
                    </w:rPr>
                  </w:pPr>
                </w:p>
              </w:tc>
              <w:tc>
                <w:tcPr>
                  <w:tcW w:w="252" w:type="pct"/>
                  <w:vMerge w:val="continue"/>
                  <w:noWrap w:val="0"/>
                  <w:vAlign w:val="center"/>
                </w:tcPr>
                <w:p w14:paraId="6C3EE32B">
                  <w:pPr>
                    <w:pStyle w:val="24"/>
                    <w:bidi w:val="0"/>
                    <w:jc w:val="center"/>
                    <w:rPr>
                      <w:rFonts w:hint="default" w:ascii="Times New Roman" w:hAnsi="Times New Roman" w:eastAsia="宋体" w:cs="Times New Roman"/>
                      <w:b/>
                      <w:bCs/>
                      <w:color w:val="auto"/>
                    </w:rPr>
                  </w:pPr>
                </w:p>
              </w:tc>
              <w:tc>
                <w:tcPr>
                  <w:tcW w:w="486" w:type="pct"/>
                  <w:noWrap w:val="0"/>
                  <w:vAlign w:val="center"/>
                </w:tcPr>
                <w:p w14:paraId="1C907056">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声功率级/dB(A)</w:t>
                  </w:r>
                </w:p>
              </w:tc>
              <w:tc>
                <w:tcPr>
                  <w:tcW w:w="376" w:type="pct"/>
                  <w:vMerge w:val="continue"/>
                  <w:noWrap w:val="0"/>
                  <w:vAlign w:val="center"/>
                </w:tcPr>
                <w:p w14:paraId="7B612EDF">
                  <w:pPr>
                    <w:pStyle w:val="24"/>
                    <w:bidi w:val="0"/>
                    <w:jc w:val="center"/>
                    <w:rPr>
                      <w:rFonts w:hint="default" w:ascii="Times New Roman" w:hAnsi="Times New Roman" w:eastAsia="宋体" w:cs="Times New Roman"/>
                      <w:b/>
                      <w:bCs/>
                      <w:color w:val="auto"/>
                    </w:rPr>
                  </w:pPr>
                </w:p>
              </w:tc>
              <w:tc>
                <w:tcPr>
                  <w:tcW w:w="252" w:type="pct"/>
                  <w:noWrap w:val="0"/>
                  <w:vAlign w:val="center"/>
                </w:tcPr>
                <w:p w14:paraId="064B8E51">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X</w:t>
                  </w:r>
                </w:p>
              </w:tc>
              <w:tc>
                <w:tcPr>
                  <w:tcW w:w="252" w:type="pct"/>
                  <w:noWrap w:val="0"/>
                  <w:vAlign w:val="center"/>
                </w:tcPr>
                <w:p w14:paraId="0486EFEF">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Y</w:t>
                  </w:r>
                </w:p>
              </w:tc>
              <w:tc>
                <w:tcPr>
                  <w:tcW w:w="211" w:type="pct"/>
                  <w:noWrap w:val="0"/>
                  <w:vAlign w:val="center"/>
                </w:tcPr>
                <w:p w14:paraId="78E5A96B">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Z</w:t>
                  </w:r>
                </w:p>
              </w:tc>
              <w:tc>
                <w:tcPr>
                  <w:tcW w:w="266" w:type="pct"/>
                  <w:vMerge w:val="continue"/>
                  <w:noWrap w:val="0"/>
                  <w:vAlign w:val="center"/>
                </w:tcPr>
                <w:p w14:paraId="0C2982BA">
                  <w:pPr>
                    <w:pStyle w:val="24"/>
                    <w:bidi w:val="0"/>
                    <w:jc w:val="center"/>
                    <w:rPr>
                      <w:rFonts w:hint="default" w:ascii="Times New Roman" w:hAnsi="Times New Roman" w:eastAsia="宋体" w:cs="Times New Roman"/>
                      <w:b/>
                      <w:bCs/>
                      <w:color w:val="auto"/>
                    </w:rPr>
                  </w:pPr>
                </w:p>
              </w:tc>
              <w:tc>
                <w:tcPr>
                  <w:tcW w:w="486" w:type="pct"/>
                  <w:vMerge w:val="continue"/>
                  <w:noWrap w:val="0"/>
                  <w:vAlign w:val="center"/>
                </w:tcPr>
                <w:p w14:paraId="0EEE06B9">
                  <w:pPr>
                    <w:pStyle w:val="24"/>
                    <w:bidi w:val="0"/>
                    <w:jc w:val="center"/>
                    <w:rPr>
                      <w:rFonts w:hint="default" w:ascii="Times New Roman" w:hAnsi="Times New Roman" w:eastAsia="宋体" w:cs="Times New Roman"/>
                      <w:b/>
                      <w:bCs/>
                      <w:color w:val="auto"/>
                    </w:rPr>
                  </w:pPr>
                </w:p>
              </w:tc>
              <w:tc>
                <w:tcPr>
                  <w:tcW w:w="314" w:type="pct"/>
                  <w:vMerge w:val="continue"/>
                  <w:noWrap w:val="0"/>
                  <w:vAlign w:val="center"/>
                </w:tcPr>
                <w:p w14:paraId="75C0641D">
                  <w:pPr>
                    <w:pStyle w:val="24"/>
                    <w:bidi w:val="0"/>
                    <w:jc w:val="center"/>
                    <w:rPr>
                      <w:rFonts w:hint="default" w:ascii="Times New Roman" w:hAnsi="Times New Roman" w:eastAsia="宋体" w:cs="Times New Roman"/>
                      <w:b/>
                      <w:bCs/>
                      <w:color w:val="auto"/>
                    </w:rPr>
                  </w:pPr>
                </w:p>
              </w:tc>
              <w:tc>
                <w:tcPr>
                  <w:tcW w:w="486" w:type="pct"/>
                  <w:vMerge w:val="continue"/>
                  <w:noWrap w:val="0"/>
                  <w:vAlign w:val="center"/>
                </w:tcPr>
                <w:p w14:paraId="15225230">
                  <w:pPr>
                    <w:pStyle w:val="24"/>
                    <w:bidi w:val="0"/>
                    <w:jc w:val="center"/>
                    <w:rPr>
                      <w:rFonts w:hint="default" w:ascii="Times New Roman" w:hAnsi="Times New Roman" w:eastAsia="宋体" w:cs="Times New Roman"/>
                      <w:b/>
                      <w:bCs/>
                      <w:color w:val="auto"/>
                    </w:rPr>
                  </w:pPr>
                </w:p>
              </w:tc>
              <w:tc>
                <w:tcPr>
                  <w:tcW w:w="487" w:type="pct"/>
                  <w:noWrap w:val="0"/>
                  <w:vAlign w:val="center"/>
                </w:tcPr>
                <w:p w14:paraId="5AA2FCC0">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声压级/dB(A)</w:t>
                  </w:r>
                </w:p>
              </w:tc>
              <w:tc>
                <w:tcPr>
                  <w:tcW w:w="287" w:type="pct"/>
                  <w:noWrap w:val="0"/>
                  <w:vAlign w:val="center"/>
                </w:tcPr>
                <w:p w14:paraId="0ADB0B1A">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建筑物外距离</w:t>
                  </w:r>
                </w:p>
              </w:tc>
            </w:tr>
            <w:tr w14:paraId="373BEC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noWrap w:val="0"/>
                  <w:vAlign w:val="center"/>
                </w:tcPr>
                <w:p w14:paraId="6C9402F4">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1</w:t>
                  </w:r>
                </w:p>
              </w:tc>
              <w:tc>
                <w:tcPr>
                  <w:tcW w:w="586" w:type="pct"/>
                  <w:noWrap w:val="0"/>
                  <w:vAlign w:val="center"/>
                </w:tcPr>
                <w:p w14:paraId="12C7780E">
                  <w:pPr>
                    <w:pStyle w:val="24"/>
                    <w:bidi w:val="0"/>
                    <w:jc w:val="center"/>
                    <w:rPr>
                      <w:rFonts w:hint="eastAsia" w:ascii="Times New Roman" w:hAnsi="Times New Roman" w:eastAsia="宋体" w:cs="Times New Roman"/>
                      <w:b w:val="0"/>
                      <w:bCs w:val="0"/>
                      <w:color w:val="auto"/>
                    </w:rPr>
                  </w:pPr>
                  <w:r>
                    <w:rPr>
                      <w:rFonts w:hint="eastAsia" w:cs="Times New Roman"/>
                      <w:color w:val="auto"/>
                      <w:lang w:val="en-US" w:eastAsia="zh-CN"/>
                    </w:rPr>
                    <w:t>丙烷压缩机</w:t>
                  </w:r>
                </w:p>
              </w:tc>
              <w:tc>
                <w:tcPr>
                  <w:tcW w:w="252" w:type="pct"/>
                  <w:noWrap w:val="0"/>
                  <w:vAlign w:val="center"/>
                </w:tcPr>
                <w:p w14:paraId="1D1A23B0">
                  <w:pPr>
                    <w:pStyle w:val="24"/>
                    <w:bidi w:val="0"/>
                    <w:jc w:val="center"/>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rPr>
                    <w:t>/</w:t>
                  </w:r>
                </w:p>
              </w:tc>
              <w:tc>
                <w:tcPr>
                  <w:tcW w:w="486" w:type="pct"/>
                  <w:noWrap w:val="0"/>
                  <w:vAlign w:val="center"/>
                </w:tcPr>
                <w:p w14:paraId="23D09FFD">
                  <w:pPr>
                    <w:pStyle w:val="24"/>
                    <w:bidi w:val="0"/>
                    <w:jc w:val="center"/>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rPr>
                    <w:t>85</w:t>
                  </w:r>
                </w:p>
              </w:tc>
              <w:tc>
                <w:tcPr>
                  <w:tcW w:w="376" w:type="pct"/>
                  <w:vMerge w:val="restart"/>
                  <w:noWrap w:val="0"/>
                  <w:vAlign w:val="center"/>
                </w:tcPr>
                <w:p w14:paraId="5EF2FF82">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减振、车间隔声</w:t>
                  </w:r>
                </w:p>
              </w:tc>
              <w:tc>
                <w:tcPr>
                  <w:tcW w:w="252" w:type="pct"/>
                  <w:noWrap w:val="0"/>
                  <w:vAlign w:val="center"/>
                </w:tcPr>
                <w:p w14:paraId="3560B8D8">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252" w:type="pct"/>
                  <w:noWrap w:val="0"/>
                  <w:vAlign w:val="center"/>
                </w:tcPr>
                <w:p w14:paraId="44816FA3">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50</w:t>
                  </w:r>
                </w:p>
              </w:tc>
              <w:tc>
                <w:tcPr>
                  <w:tcW w:w="211" w:type="pct"/>
                  <w:noWrap w:val="0"/>
                  <w:vAlign w:val="center"/>
                </w:tcPr>
                <w:p w14:paraId="152A77F4">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p>
              </w:tc>
              <w:tc>
                <w:tcPr>
                  <w:tcW w:w="266" w:type="pct"/>
                  <w:noWrap w:val="0"/>
                  <w:vAlign w:val="center"/>
                </w:tcPr>
                <w:p w14:paraId="330A2A2C">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10</w:t>
                  </w:r>
                </w:p>
              </w:tc>
              <w:tc>
                <w:tcPr>
                  <w:tcW w:w="486" w:type="pct"/>
                  <w:noWrap w:val="0"/>
                  <w:vAlign w:val="center"/>
                </w:tcPr>
                <w:p w14:paraId="0742439F">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68</w:t>
                  </w:r>
                </w:p>
              </w:tc>
              <w:tc>
                <w:tcPr>
                  <w:tcW w:w="314" w:type="pct"/>
                  <w:noWrap w:val="0"/>
                  <w:vAlign w:val="center"/>
                </w:tcPr>
                <w:p w14:paraId="632BE15B">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12h</w:t>
                  </w:r>
                </w:p>
              </w:tc>
              <w:tc>
                <w:tcPr>
                  <w:tcW w:w="486" w:type="pct"/>
                  <w:noWrap w:val="0"/>
                  <w:vAlign w:val="center"/>
                </w:tcPr>
                <w:p w14:paraId="18BCC216">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15</w:t>
                  </w:r>
                </w:p>
              </w:tc>
              <w:tc>
                <w:tcPr>
                  <w:tcW w:w="487" w:type="pct"/>
                  <w:noWrap w:val="0"/>
                  <w:vAlign w:val="center"/>
                </w:tcPr>
                <w:p w14:paraId="5C22974F">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50</w:t>
                  </w:r>
                </w:p>
              </w:tc>
              <w:tc>
                <w:tcPr>
                  <w:tcW w:w="287" w:type="pct"/>
                  <w:noWrap w:val="0"/>
                  <w:vAlign w:val="center"/>
                </w:tcPr>
                <w:p w14:paraId="1B187436">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1m</w:t>
                  </w:r>
                </w:p>
              </w:tc>
            </w:tr>
            <w:tr w14:paraId="1B54A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noWrap w:val="0"/>
                  <w:vAlign w:val="center"/>
                </w:tcPr>
                <w:p w14:paraId="08F4BB6C">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p>
              </w:tc>
              <w:tc>
                <w:tcPr>
                  <w:tcW w:w="586" w:type="pct"/>
                  <w:noWrap w:val="0"/>
                  <w:vAlign w:val="center"/>
                </w:tcPr>
                <w:p w14:paraId="52A76943">
                  <w:pPr>
                    <w:pStyle w:val="24"/>
                    <w:bidi w:val="0"/>
                    <w:jc w:val="center"/>
                    <w:rPr>
                      <w:rFonts w:hint="eastAsia" w:ascii="Times New Roman" w:hAnsi="Times New Roman" w:eastAsia="宋体" w:cs="Times New Roman"/>
                      <w:b w:val="0"/>
                      <w:bCs w:val="0"/>
                      <w:color w:val="auto"/>
                    </w:rPr>
                  </w:pPr>
                  <w:r>
                    <w:rPr>
                      <w:rFonts w:hint="eastAsia" w:cs="Times New Roman"/>
                      <w:color w:val="auto"/>
                      <w:lang w:val="en-US" w:eastAsia="zh-CN"/>
                    </w:rPr>
                    <w:t>丙烷灌装泵</w:t>
                  </w:r>
                </w:p>
              </w:tc>
              <w:tc>
                <w:tcPr>
                  <w:tcW w:w="252" w:type="pct"/>
                  <w:noWrap w:val="0"/>
                  <w:vAlign w:val="center"/>
                </w:tcPr>
                <w:p w14:paraId="4B617A8A">
                  <w:pPr>
                    <w:pStyle w:val="24"/>
                    <w:bidi w:val="0"/>
                    <w:jc w:val="center"/>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rPr>
                    <w:t>/</w:t>
                  </w:r>
                </w:p>
              </w:tc>
              <w:tc>
                <w:tcPr>
                  <w:tcW w:w="486" w:type="pct"/>
                  <w:noWrap w:val="0"/>
                  <w:vAlign w:val="center"/>
                </w:tcPr>
                <w:p w14:paraId="23207710">
                  <w:pPr>
                    <w:pStyle w:val="24"/>
                    <w:bidi w:val="0"/>
                    <w:jc w:val="center"/>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rPr>
                    <w:t>85</w:t>
                  </w:r>
                </w:p>
              </w:tc>
              <w:tc>
                <w:tcPr>
                  <w:tcW w:w="376" w:type="pct"/>
                  <w:vMerge w:val="continue"/>
                  <w:noWrap w:val="0"/>
                  <w:vAlign w:val="center"/>
                </w:tcPr>
                <w:p w14:paraId="770187CE">
                  <w:pPr>
                    <w:pStyle w:val="24"/>
                    <w:bidi w:val="0"/>
                    <w:jc w:val="center"/>
                    <w:rPr>
                      <w:rFonts w:hint="default" w:ascii="Times New Roman" w:hAnsi="Times New Roman" w:eastAsia="宋体" w:cs="Times New Roman"/>
                      <w:b w:val="0"/>
                      <w:bCs w:val="0"/>
                      <w:color w:val="auto"/>
                    </w:rPr>
                  </w:pPr>
                </w:p>
              </w:tc>
              <w:tc>
                <w:tcPr>
                  <w:tcW w:w="252" w:type="pct"/>
                  <w:noWrap w:val="0"/>
                  <w:vAlign w:val="center"/>
                </w:tcPr>
                <w:p w14:paraId="7128FE7A">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20</w:t>
                  </w:r>
                </w:p>
              </w:tc>
              <w:tc>
                <w:tcPr>
                  <w:tcW w:w="252" w:type="pct"/>
                  <w:noWrap w:val="0"/>
                  <w:vAlign w:val="center"/>
                </w:tcPr>
                <w:p w14:paraId="66947192">
                  <w:pPr>
                    <w:pStyle w:val="24"/>
                    <w:bidi w:val="0"/>
                    <w:jc w:val="center"/>
                    <w:rPr>
                      <w:rFonts w:hint="default" w:ascii="Times New Roman" w:hAnsi="Times New Roman" w:eastAsia="宋体" w:cs="Times New Roman"/>
                      <w:b w:val="0"/>
                      <w:bCs w:val="0"/>
                      <w:color w:val="auto"/>
                    </w:rPr>
                  </w:pPr>
                  <w:r>
                    <w:rPr>
                      <w:rFonts w:hint="eastAsia" w:ascii="Times New Roman" w:hAnsi="Times New Roman" w:eastAsia="宋体" w:cs="Times New Roman"/>
                      <w:b w:val="0"/>
                      <w:bCs w:val="0"/>
                      <w:color w:val="auto"/>
                      <w:lang w:val="en-US" w:eastAsia="zh-CN"/>
                    </w:rPr>
                    <w:t>5</w:t>
                  </w:r>
                  <w:r>
                    <w:rPr>
                      <w:rFonts w:hint="eastAsia" w:ascii="Times New Roman" w:hAnsi="Times New Roman" w:eastAsia="宋体" w:cs="Times New Roman"/>
                      <w:b w:val="0"/>
                      <w:bCs w:val="0"/>
                      <w:color w:val="auto"/>
                    </w:rPr>
                    <w:t>0</w:t>
                  </w:r>
                </w:p>
              </w:tc>
              <w:tc>
                <w:tcPr>
                  <w:tcW w:w="211" w:type="pct"/>
                  <w:noWrap w:val="0"/>
                  <w:vAlign w:val="center"/>
                </w:tcPr>
                <w:p w14:paraId="46D0573E">
                  <w:pPr>
                    <w:pStyle w:val="24"/>
                    <w:bidi w:val="0"/>
                    <w:jc w:val="center"/>
                    <w:rPr>
                      <w:rFonts w:hint="eastAsia" w:ascii="Times New Roman" w:hAnsi="Times New Roman" w:eastAsia="宋体" w:cs="Times New Roman"/>
                      <w:b w:val="0"/>
                      <w:bCs w:val="0"/>
                      <w:color w:val="auto"/>
                    </w:rPr>
                  </w:pPr>
                  <w:r>
                    <w:rPr>
                      <w:rFonts w:hint="eastAsia" w:ascii="Times New Roman" w:hAnsi="Times New Roman" w:eastAsia="宋体" w:cs="Times New Roman"/>
                      <w:b w:val="0"/>
                      <w:bCs w:val="0"/>
                      <w:color w:val="auto"/>
                    </w:rPr>
                    <w:t>2</w:t>
                  </w:r>
                </w:p>
              </w:tc>
              <w:tc>
                <w:tcPr>
                  <w:tcW w:w="266" w:type="pct"/>
                  <w:noWrap w:val="0"/>
                  <w:vAlign w:val="center"/>
                </w:tcPr>
                <w:p w14:paraId="51C13D4D">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20</w:t>
                  </w:r>
                </w:p>
              </w:tc>
              <w:tc>
                <w:tcPr>
                  <w:tcW w:w="486" w:type="pct"/>
                  <w:noWrap w:val="0"/>
                  <w:vAlign w:val="center"/>
                </w:tcPr>
                <w:p w14:paraId="5EF08EA3">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60</w:t>
                  </w:r>
                </w:p>
              </w:tc>
              <w:tc>
                <w:tcPr>
                  <w:tcW w:w="314" w:type="pct"/>
                  <w:noWrap w:val="0"/>
                  <w:vAlign w:val="center"/>
                </w:tcPr>
                <w:p w14:paraId="1D17E366">
                  <w:pPr>
                    <w:pStyle w:val="24"/>
                    <w:bidi w:val="0"/>
                    <w:jc w:val="center"/>
                    <w:rPr>
                      <w:rFonts w:hint="default"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12h</w:t>
                  </w:r>
                </w:p>
              </w:tc>
              <w:tc>
                <w:tcPr>
                  <w:tcW w:w="486" w:type="pct"/>
                  <w:noWrap w:val="0"/>
                  <w:vAlign w:val="center"/>
                </w:tcPr>
                <w:p w14:paraId="4B3B0598">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15</w:t>
                  </w:r>
                </w:p>
              </w:tc>
              <w:tc>
                <w:tcPr>
                  <w:tcW w:w="487" w:type="pct"/>
                  <w:noWrap w:val="0"/>
                  <w:vAlign w:val="center"/>
                </w:tcPr>
                <w:p w14:paraId="7553BA3E">
                  <w:pPr>
                    <w:pStyle w:val="24"/>
                    <w:bidi w:val="0"/>
                    <w:jc w:val="center"/>
                    <w:rPr>
                      <w:rFonts w:hint="eastAsia" w:ascii="Times New Roman" w:hAnsi="Times New Roman" w:eastAsia="宋体" w:cs="Times New Roman"/>
                      <w:b w:val="0"/>
                      <w:bCs w:val="0"/>
                      <w:color w:val="auto"/>
                      <w:lang w:eastAsia="zh-CN"/>
                    </w:rPr>
                  </w:pPr>
                  <w:r>
                    <w:rPr>
                      <w:rFonts w:hint="eastAsia" w:ascii="Times New Roman" w:hAnsi="Times New Roman" w:eastAsia="宋体" w:cs="Times New Roman"/>
                      <w:b w:val="0"/>
                      <w:bCs w:val="0"/>
                      <w:color w:val="auto"/>
                    </w:rPr>
                    <w:t>4</w:t>
                  </w:r>
                  <w:r>
                    <w:rPr>
                      <w:rFonts w:hint="eastAsia" w:ascii="Times New Roman" w:hAnsi="Times New Roman" w:eastAsia="宋体" w:cs="Times New Roman"/>
                      <w:b w:val="0"/>
                      <w:bCs w:val="0"/>
                      <w:color w:val="auto"/>
                      <w:lang w:val="en-US" w:eastAsia="zh-CN"/>
                    </w:rPr>
                    <w:t>5</w:t>
                  </w:r>
                </w:p>
              </w:tc>
              <w:tc>
                <w:tcPr>
                  <w:tcW w:w="287" w:type="pct"/>
                  <w:noWrap w:val="0"/>
                  <w:vAlign w:val="center"/>
                </w:tcPr>
                <w:p w14:paraId="00D197CF">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1m</w:t>
                  </w:r>
                </w:p>
              </w:tc>
            </w:tr>
            <w:tr w14:paraId="2A832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2" w:type="pct"/>
                  <w:noWrap w:val="0"/>
                  <w:vAlign w:val="center"/>
                </w:tcPr>
                <w:p w14:paraId="7AACB386">
                  <w:pPr>
                    <w:pStyle w:val="24"/>
                    <w:bidi w:val="0"/>
                    <w:jc w:val="center"/>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3</w:t>
                  </w:r>
                </w:p>
              </w:tc>
              <w:tc>
                <w:tcPr>
                  <w:tcW w:w="586" w:type="pct"/>
                  <w:noWrap w:val="0"/>
                  <w:vAlign w:val="center"/>
                </w:tcPr>
                <w:p w14:paraId="3AC24588">
                  <w:pPr>
                    <w:pStyle w:val="24"/>
                    <w:bidi w:val="0"/>
                    <w:jc w:val="center"/>
                    <w:rPr>
                      <w:rFonts w:hint="default" w:cs="Times New Roman"/>
                      <w:color w:val="auto"/>
                      <w:lang w:val="en-US" w:eastAsia="zh-CN"/>
                    </w:rPr>
                  </w:pPr>
                  <w:r>
                    <w:rPr>
                      <w:rFonts w:hint="eastAsia" w:cs="Times New Roman"/>
                      <w:color w:val="auto"/>
                      <w:lang w:val="en-US" w:eastAsia="zh-CN"/>
                    </w:rPr>
                    <w:t>排风扇</w:t>
                  </w:r>
                </w:p>
              </w:tc>
              <w:tc>
                <w:tcPr>
                  <w:tcW w:w="252" w:type="pct"/>
                  <w:noWrap w:val="0"/>
                  <w:vAlign w:val="center"/>
                </w:tcPr>
                <w:p w14:paraId="3C2830BF">
                  <w:pPr>
                    <w:pStyle w:val="24"/>
                    <w:bidi w:val="0"/>
                    <w:jc w:val="center"/>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w:t>
                  </w:r>
                </w:p>
              </w:tc>
              <w:tc>
                <w:tcPr>
                  <w:tcW w:w="486" w:type="pct"/>
                  <w:noWrap w:val="0"/>
                  <w:vAlign w:val="center"/>
                </w:tcPr>
                <w:p w14:paraId="12D8670E">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55</w:t>
                  </w:r>
                </w:p>
              </w:tc>
              <w:tc>
                <w:tcPr>
                  <w:tcW w:w="376" w:type="pct"/>
                  <w:vMerge w:val="continue"/>
                  <w:noWrap w:val="0"/>
                  <w:vAlign w:val="center"/>
                </w:tcPr>
                <w:p w14:paraId="09750792">
                  <w:pPr>
                    <w:pStyle w:val="24"/>
                    <w:bidi w:val="0"/>
                    <w:jc w:val="center"/>
                    <w:rPr>
                      <w:rFonts w:hint="default" w:ascii="Times New Roman" w:hAnsi="Times New Roman" w:eastAsia="宋体" w:cs="Times New Roman"/>
                      <w:b w:val="0"/>
                      <w:bCs w:val="0"/>
                      <w:color w:val="auto"/>
                    </w:rPr>
                  </w:pPr>
                </w:p>
              </w:tc>
              <w:tc>
                <w:tcPr>
                  <w:tcW w:w="252" w:type="pct"/>
                  <w:noWrap w:val="0"/>
                  <w:vAlign w:val="center"/>
                </w:tcPr>
                <w:p w14:paraId="42952A9C">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w:t>
                  </w:r>
                </w:p>
              </w:tc>
              <w:tc>
                <w:tcPr>
                  <w:tcW w:w="252" w:type="pct"/>
                  <w:noWrap w:val="0"/>
                  <w:vAlign w:val="center"/>
                </w:tcPr>
                <w:p w14:paraId="3B43037D">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w:t>
                  </w:r>
                </w:p>
              </w:tc>
              <w:tc>
                <w:tcPr>
                  <w:tcW w:w="211" w:type="pct"/>
                  <w:noWrap w:val="0"/>
                  <w:vAlign w:val="center"/>
                </w:tcPr>
                <w:p w14:paraId="68FE18D2">
                  <w:pPr>
                    <w:pStyle w:val="24"/>
                    <w:bidi w:val="0"/>
                    <w:jc w:val="center"/>
                    <w:rPr>
                      <w:rFonts w:hint="eastAsia" w:ascii="Times New Roman" w:hAnsi="Times New Roman" w:eastAsia="宋体" w:cs="Times New Roman"/>
                      <w:b w:val="0"/>
                      <w:bCs w:val="0"/>
                      <w:color w:val="auto"/>
                      <w:lang w:val="en-US" w:eastAsia="zh-CN"/>
                    </w:rPr>
                  </w:pPr>
                  <w:r>
                    <w:rPr>
                      <w:rFonts w:hint="eastAsia" w:cs="Times New Roman"/>
                      <w:b w:val="0"/>
                      <w:bCs w:val="0"/>
                      <w:color w:val="auto"/>
                      <w:lang w:val="en-US" w:eastAsia="zh-CN"/>
                    </w:rPr>
                    <w:t>8</w:t>
                  </w:r>
                </w:p>
              </w:tc>
              <w:tc>
                <w:tcPr>
                  <w:tcW w:w="266" w:type="pct"/>
                  <w:noWrap w:val="0"/>
                  <w:vAlign w:val="center"/>
                </w:tcPr>
                <w:p w14:paraId="60BF463B">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w:t>
                  </w:r>
                </w:p>
              </w:tc>
              <w:tc>
                <w:tcPr>
                  <w:tcW w:w="486" w:type="pct"/>
                  <w:noWrap w:val="0"/>
                  <w:vAlign w:val="center"/>
                </w:tcPr>
                <w:p w14:paraId="44E2A6EC">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55</w:t>
                  </w:r>
                </w:p>
              </w:tc>
              <w:tc>
                <w:tcPr>
                  <w:tcW w:w="314" w:type="pct"/>
                  <w:noWrap w:val="0"/>
                  <w:vAlign w:val="center"/>
                </w:tcPr>
                <w:p w14:paraId="76AC4DBE">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12h</w:t>
                  </w:r>
                </w:p>
              </w:tc>
              <w:tc>
                <w:tcPr>
                  <w:tcW w:w="486" w:type="pct"/>
                  <w:noWrap w:val="0"/>
                  <w:vAlign w:val="center"/>
                </w:tcPr>
                <w:p w14:paraId="7B3A56E6">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5</w:t>
                  </w:r>
                </w:p>
              </w:tc>
              <w:tc>
                <w:tcPr>
                  <w:tcW w:w="487" w:type="pct"/>
                  <w:noWrap w:val="0"/>
                  <w:vAlign w:val="center"/>
                </w:tcPr>
                <w:p w14:paraId="4EF88341">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50</w:t>
                  </w:r>
                </w:p>
              </w:tc>
              <w:tc>
                <w:tcPr>
                  <w:tcW w:w="287" w:type="pct"/>
                  <w:noWrap w:val="0"/>
                  <w:vAlign w:val="center"/>
                </w:tcPr>
                <w:p w14:paraId="4DD74319">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1m</w:t>
                  </w:r>
                </w:p>
              </w:tc>
            </w:tr>
          </w:tbl>
          <w:p w14:paraId="611264E9">
            <w:pPr>
              <w:pStyle w:val="44"/>
              <w:bidi w:val="0"/>
              <w:rPr>
                <w:rFonts w:hint="default" w:ascii="Times New Roman" w:hAnsi="Times New Roman"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lang w:val="en-US" w:eastAsia="zh-CN"/>
              </w:rPr>
              <w:t>厂界噪声达标情况</w:t>
            </w:r>
          </w:p>
          <w:p w14:paraId="08A2682E">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选择《环境影响评价技术导则 声环境》（HJ2.4-2021）中规定的衰减模式，对噪声影响进行预测：</w:t>
            </w:r>
          </w:p>
          <w:p w14:paraId="63B63F58">
            <w:pPr>
              <w:pStyle w:val="44"/>
              <w:bidi w:val="0"/>
              <w:rPr>
                <w:rFonts w:hint="default" w:ascii="Times New Roman" w:hAnsi="Times New Roman" w:cs="Times New Roman"/>
                <w:color w:val="auto"/>
                <w:lang w:val="en-US" w:eastAsia="zh-CN"/>
              </w:rPr>
            </w:pPr>
            <w:r>
              <w:rPr>
                <w:rFonts w:hint="eastAsia" w:cs="Times New Roman"/>
                <w:color w:val="auto"/>
                <w:lang w:val="en-US" w:eastAsia="zh-CN"/>
              </w:rPr>
              <w:t>①</w:t>
            </w:r>
            <w:r>
              <w:rPr>
                <w:rFonts w:hint="default" w:ascii="Times New Roman" w:hAnsi="Times New Roman" w:cs="Times New Roman"/>
                <w:color w:val="auto"/>
                <w:lang w:val="en-US" w:eastAsia="zh-CN"/>
              </w:rPr>
              <w:t>预测模式</w:t>
            </w:r>
          </w:p>
          <w:p w14:paraId="65CD3688">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本次采用《环境影响评价技术导则声环境》（HJ2.4-2021）中工业噪声预测模式进行预测：</w:t>
            </w:r>
          </w:p>
          <w:p w14:paraId="035498E8">
            <w:pPr>
              <w:pStyle w:val="44"/>
              <w:bidi w:val="0"/>
              <w:rPr>
                <w:rFonts w:hint="default" w:ascii="Times New Roman" w:hAnsi="Times New Roman" w:cs="Times New Roman"/>
                <w:color w:val="auto"/>
                <w:lang w:val="en-US" w:eastAsia="zh-CN"/>
              </w:rPr>
            </w:pPr>
            <w:r>
              <w:rPr>
                <w:rFonts w:hint="eastAsia" w:cs="Times New Roman"/>
                <w:color w:val="auto"/>
                <w:lang w:val="en-US" w:eastAsia="zh-CN"/>
              </w:rPr>
              <w:t xml:space="preserve">A </w:t>
            </w:r>
            <w:r>
              <w:rPr>
                <w:rFonts w:hint="default" w:ascii="Times New Roman" w:hAnsi="Times New Roman" w:cs="Times New Roman"/>
                <w:color w:val="auto"/>
                <w:lang w:val="en-US" w:eastAsia="zh-CN"/>
              </w:rPr>
              <w:t>室内声源等效室外声源声功率级计算方法</w:t>
            </w:r>
          </w:p>
          <w:p w14:paraId="188E6B45">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Lp2=Lp1-（TL+6）</w:t>
            </w:r>
          </w:p>
          <w:p w14:paraId="5C696278">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式中：Lp1-室内某倍频带的声压级，dB；</w:t>
            </w:r>
          </w:p>
          <w:p w14:paraId="1734F5FD">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Lp2-室外某倍频带的声压级，dB；</w:t>
            </w:r>
          </w:p>
          <w:p w14:paraId="2FC5A941">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TL-隔墙（或窗户）倍频带的隔声量，dB。</w:t>
            </w:r>
          </w:p>
          <w:p w14:paraId="4987C268">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将室内声源等效为室外声源，然后按室外声源的计算方法，计算该等效室外声源在第i个预测点的声级L。</w:t>
            </w:r>
          </w:p>
          <w:p w14:paraId="3B7F0738">
            <w:pPr>
              <w:pStyle w:val="44"/>
              <w:bidi w:val="0"/>
              <w:jc w:val="center"/>
              <w:rPr>
                <w:color w:val="auto"/>
                <w:sz w:val="24"/>
                <w:szCs w:val="24"/>
              </w:rPr>
            </w:pPr>
          </w:p>
          <w:p w14:paraId="6C5D08B0">
            <w:pPr>
              <w:pStyle w:val="44"/>
              <w:bidi w:val="0"/>
              <w:jc w:val="center"/>
              <w:rPr>
                <w:color w:val="auto"/>
                <w:sz w:val="24"/>
                <w:szCs w:val="24"/>
              </w:rPr>
            </w:pPr>
          </w:p>
          <w:p w14:paraId="10E346B4">
            <w:pPr>
              <w:pStyle w:val="44"/>
              <w:bidi w:val="0"/>
              <w:ind w:left="0" w:leftChars="0" w:firstLine="0" w:firstLineChars="0"/>
              <w:jc w:val="center"/>
              <w:rPr>
                <w:rFonts w:hint="default" w:ascii="Times New Roman" w:hAnsi="Times New Roman" w:cs="Times New Roman"/>
                <w:color w:val="auto"/>
                <w:lang w:val="en-US" w:eastAsia="zh-CN"/>
              </w:rPr>
            </w:pPr>
            <w:r>
              <w:rPr>
                <w:color w:val="auto"/>
                <w:sz w:val="24"/>
                <w:szCs w:val="24"/>
              </w:rPr>
              <w:drawing>
                <wp:inline distT="0" distB="0" distL="114300" distR="114300">
                  <wp:extent cx="1950085" cy="807085"/>
                  <wp:effectExtent l="0" t="0" r="12065" b="12065"/>
                  <wp:docPr id="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pic:cNvPicPr>
                            <a:picLocks noChangeAspect="1"/>
                          </pic:cNvPicPr>
                        </pic:nvPicPr>
                        <pic:blipFill>
                          <a:blip r:embed="rId14"/>
                          <a:stretch>
                            <a:fillRect/>
                          </a:stretch>
                        </pic:blipFill>
                        <pic:spPr>
                          <a:xfrm>
                            <a:off x="0" y="0"/>
                            <a:ext cx="1950085" cy="807085"/>
                          </a:xfrm>
                          <a:prstGeom prst="rect">
                            <a:avLst/>
                          </a:prstGeom>
                          <a:noFill/>
                          <a:ln>
                            <a:noFill/>
                          </a:ln>
                        </pic:spPr>
                      </pic:pic>
                    </a:graphicData>
                  </a:graphic>
                </wp:inline>
              </w:drawing>
            </w:r>
          </w:p>
          <w:p w14:paraId="1497CE9D">
            <w:pPr>
              <w:pStyle w:val="44"/>
              <w:bidi w:val="0"/>
              <w:ind w:left="0" w:leftChars="0" w:firstLine="0" w:firstLineChars="0"/>
              <w:jc w:val="center"/>
              <w:rPr>
                <w:rFonts w:hint="default" w:ascii="Times New Roman" w:hAnsi="Times New Roman" w:eastAsia="楷体" w:cs="Times New Roman"/>
                <w:b/>
                <w:bCs/>
                <w:color w:val="auto"/>
                <w:kern w:val="0"/>
                <w:sz w:val="24"/>
                <w:szCs w:val="21"/>
                <w:lang w:val="en-US" w:eastAsia="zh-CN" w:bidi="ar-SA"/>
              </w:rPr>
            </w:pPr>
            <w:r>
              <w:rPr>
                <w:rFonts w:hint="default" w:ascii="Times New Roman" w:hAnsi="Times New Roman" w:eastAsia="楷体" w:cs="Times New Roman"/>
                <w:b/>
                <w:bCs/>
                <w:color w:val="auto"/>
                <w:kern w:val="0"/>
                <w:sz w:val="24"/>
                <w:szCs w:val="21"/>
                <w:lang w:val="en-US" w:eastAsia="zh-CN" w:bidi="ar-SA"/>
              </w:rPr>
              <w:t>图4-1  室内声源等效为室外声源图例</w:t>
            </w:r>
          </w:p>
          <w:p w14:paraId="7A09A0DB">
            <w:pPr>
              <w:pStyle w:val="44"/>
              <w:bidi w:val="0"/>
              <w:rPr>
                <w:rFonts w:hint="default" w:ascii="Times New Roman" w:hAnsi="Times New Roman" w:cs="Times New Roman"/>
                <w:color w:val="auto"/>
                <w:lang w:val="en-US" w:eastAsia="zh-CN"/>
              </w:rPr>
            </w:pPr>
            <w:r>
              <w:rPr>
                <w:rFonts w:hint="eastAsia" w:cs="Times New Roman"/>
                <w:color w:val="auto"/>
                <w:lang w:val="en-US" w:eastAsia="zh-CN"/>
              </w:rPr>
              <w:t xml:space="preserve">B </w:t>
            </w:r>
            <w:r>
              <w:rPr>
                <w:rFonts w:hint="default" w:ascii="Times New Roman" w:hAnsi="Times New Roman" w:cs="Times New Roman"/>
                <w:color w:val="auto"/>
                <w:lang w:val="en-US" w:eastAsia="zh-CN"/>
              </w:rPr>
              <w:t>户外声传播衰减计算公式</w:t>
            </w:r>
          </w:p>
          <w:p w14:paraId="3938AF40">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Lp（r）=Lp（r0）-（Adiv+Aatm+Abar+Agr+Amisc）</w:t>
            </w:r>
          </w:p>
          <w:p w14:paraId="58280779">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式中：Lp（r）-距声源r处的A声级；Lp（r0）-参考位置r0处的A声级；</w:t>
            </w:r>
          </w:p>
          <w:p w14:paraId="094F185A">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Adiv-几何发散引起的倍频带衰减；Aatm-大气吸收引起的倍频带衰减；</w:t>
            </w:r>
          </w:p>
          <w:p w14:paraId="180127FD">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Abar-屏障屏蔽引起的倍频带衰减；Agr-地面效应引起的倍频带衰减；</w:t>
            </w:r>
          </w:p>
          <w:p w14:paraId="2BFB74B6">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Amisc-其他多方面效应引起的倍频带衰减。</w:t>
            </w:r>
          </w:p>
          <w:p w14:paraId="4D2FF89C">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在不能取得声源倍频带声功率级或倍频带声压级，只能获得A声功率级或某点A声级时，可按下列工作作近似计算。</w:t>
            </w:r>
          </w:p>
          <w:p w14:paraId="3557CDFB">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LA（r）=LA（r0）-（Adiv+Aatm+Abar+Agr+Amisc）</w:t>
            </w:r>
          </w:p>
          <w:p w14:paraId="486C38DD">
            <w:pPr>
              <w:pStyle w:val="44"/>
              <w:bidi w:val="0"/>
              <w:rPr>
                <w:rFonts w:hint="default" w:ascii="Times New Roman" w:hAnsi="Times New Roman" w:cs="Times New Roman"/>
                <w:color w:val="auto"/>
                <w:lang w:val="en-US" w:eastAsia="zh-CN"/>
              </w:rPr>
            </w:pPr>
            <w:r>
              <w:rPr>
                <w:rFonts w:hint="eastAsia" w:cs="Times New Roman"/>
                <w:color w:val="auto"/>
                <w:lang w:val="en-US" w:eastAsia="zh-CN"/>
              </w:rPr>
              <w:t xml:space="preserve">C </w:t>
            </w:r>
            <w:r>
              <w:rPr>
                <w:rFonts w:hint="default" w:ascii="Times New Roman" w:hAnsi="Times New Roman" w:cs="Times New Roman"/>
                <w:color w:val="auto"/>
                <w:lang w:val="en-US" w:eastAsia="zh-CN"/>
              </w:rPr>
              <w:t>某点的声压级叠加公式</w:t>
            </w:r>
          </w:p>
          <w:p w14:paraId="1856269F">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w:t>
            </w:r>
            <m:oMath>
              <m:sSub>
                <m:sSubPr>
                  <m:ctrlPr>
                    <w:rPr>
                      <w:rFonts w:hint="default" w:ascii="Cambria Math" w:hAnsi="Cambria Math" w:cs="Times New Roman"/>
                      <w:i/>
                      <w:snapToGrid w:val="0"/>
                      <w:color w:val="auto"/>
                      <w:spacing w:val="0"/>
                      <w:kern w:val="21"/>
                      <w:position w:val="0"/>
                      <w:sz w:val="24"/>
                      <w:szCs w:val="24"/>
                      <w:lang w:val="en-US" w:eastAsia="zh-CN"/>
                    </w:rPr>
                  </m:ctrlPr>
                </m:sSubPr>
                <m:e>
                  <m:r>
                    <m:rPr/>
                    <w:rPr>
                      <w:rFonts w:hint="default" w:ascii="Cambria Math" w:hAnsi="Cambria Math" w:cs="Times New Roman"/>
                      <w:snapToGrid w:val="0"/>
                      <w:color w:val="auto"/>
                      <w:spacing w:val="0"/>
                      <w:kern w:val="21"/>
                      <w:position w:val="0"/>
                      <w:sz w:val="24"/>
                      <w:szCs w:val="24"/>
                      <w:lang w:val="en-US" w:eastAsia="zh-CN"/>
                    </w:rPr>
                    <m:t>L</m:t>
                  </m:r>
                  <m:ctrlPr>
                    <w:rPr>
                      <w:rFonts w:hint="default" w:ascii="Cambria Math" w:hAnsi="Cambria Math" w:cs="Times New Roman"/>
                      <w:i/>
                      <w:snapToGrid w:val="0"/>
                      <w:color w:val="auto"/>
                      <w:spacing w:val="0"/>
                      <w:kern w:val="21"/>
                      <w:position w:val="0"/>
                      <w:sz w:val="24"/>
                      <w:szCs w:val="24"/>
                      <w:lang w:val="en-US" w:eastAsia="zh-CN"/>
                    </w:rPr>
                  </m:ctrlPr>
                </m:e>
                <m:sub>
                  <m:r>
                    <m:rPr/>
                    <w:rPr>
                      <w:rFonts w:hint="default" w:ascii="Cambria Math" w:hAnsi="Cambria Math" w:cs="Times New Roman"/>
                      <w:snapToGrid w:val="0"/>
                      <w:color w:val="auto"/>
                      <w:spacing w:val="0"/>
                      <w:kern w:val="21"/>
                      <w:position w:val="0"/>
                      <w:sz w:val="24"/>
                      <w:szCs w:val="24"/>
                      <w:lang w:val="en-US" w:eastAsia="zh-CN"/>
                    </w:rPr>
                    <m:t>eqg</m:t>
                  </m:r>
                  <m:ctrlPr>
                    <w:rPr>
                      <w:rFonts w:hint="default" w:ascii="Cambria Math" w:hAnsi="Cambria Math" w:cs="Times New Roman"/>
                      <w:i/>
                      <w:snapToGrid w:val="0"/>
                      <w:color w:val="auto"/>
                      <w:spacing w:val="0"/>
                      <w:kern w:val="21"/>
                      <w:position w:val="0"/>
                      <w:sz w:val="24"/>
                      <w:szCs w:val="24"/>
                      <w:lang w:val="en-US" w:eastAsia="zh-CN"/>
                    </w:rPr>
                  </m:ctrlPr>
                </m:sub>
              </m:sSub>
              <m:r>
                <m:rPr/>
                <w:rPr>
                  <w:rFonts w:hint="default" w:ascii="Cambria Math" w:hAnsi="Cambria Math" w:cs="Times New Roman"/>
                  <w:snapToGrid w:val="0"/>
                  <w:color w:val="auto"/>
                  <w:spacing w:val="0"/>
                  <w:kern w:val="21"/>
                  <w:position w:val="0"/>
                  <w:sz w:val="24"/>
                  <w:szCs w:val="24"/>
                </w:rPr>
                <m:t>=</m:t>
              </m:r>
              <m:r>
                <m:rPr/>
                <w:rPr>
                  <w:rFonts w:hint="default" w:ascii="Cambria Math" w:hAnsi="Cambria Math" w:cs="Times New Roman"/>
                  <w:snapToGrid w:val="0"/>
                  <w:color w:val="auto"/>
                  <w:spacing w:val="0"/>
                  <w:kern w:val="21"/>
                  <w:position w:val="0"/>
                  <w:sz w:val="24"/>
                  <w:szCs w:val="24"/>
                  <w:lang w:val="en-US" w:eastAsia="zh-CN"/>
                </w:rPr>
                <m:t>10lg</m:t>
              </m:r>
              <m:d>
                <m:dPr>
                  <m:ctrlPr>
                    <w:rPr>
                      <w:rFonts w:hint="default" w:ascii="Cambria Math" w:hAnsi="Cambria Math" w:cs="Times New Roman"/>
                      <w:i/>
                      <w:snapToGrid w:val="0"/>
                      <w:color w:val="auto"/>
                      <w:spacing w:val="0"/>
                      <w:kern w:val="21"/>
                      <w:position w:val="0"/>
                      <w:sz w:val="24"/>
                      <w:szCs w:val="24"/>
                      <w:lang w:val="en-US" w:eastAsia="zh-CN"/>
                    </w:rPr>
                  </m:ctrlPr>
                </m:dPr>
                <m:e>
                  <m:f>
                    <m:fPr>
                      <m:ctrlPr>
                        <w:rPr>
                          <w:rFonts w:hint="default" w:ascii="Cambria Math" w:hAnsi="Cambria Math" w:cs="Times New Roman"/>
                          <w:i/>
                          <w:snapToGrid w:val="0"/>
                          <w:color w:val="auto"/>
                          <w:spacing w:val="0"/>
                          <w:kern w:val="21"/>
                          <w:position w:val="0"/>
                          <w:sz w:val="24"/>
                          <w:szCs w:val="24"/>
                          <w:lang w:val="en-US" w:eastAsia="zh-CN"/>
                        </w:rPr>
                      </m:ctrlPr>
                    </m:fPr>
                    <m:num>
                      <m:r>
                        <m:rPr/>
                        <w:rPr>
                          <w:rFonts w:hint="default" w:ascii="Cambria Math" w:hAnsi="Cambria Math" w:cs="Times New Roman"/>
                          <w:snapToGrid w:val="0"/>
                          <w:color w:val="auto"/>
                          <w:spacing w:val="0"/>
                          <w:kern w:val="21"/>
                          <w:position w:val="0"/>
                          <w:sz w:val="24"/>
                          <w:szCs w:val="24"/>
                          <w:lang w:val="en-US" w:eastAsia="zh-CN"/>
                        </w:rPr>
                        <m:t>1</m:t>
                      </m:r>
                      <m:ctrlPr>
                        <w:rPr>
                          <w:rFonts w:hint="default" w:ascii="Cambria Math" w:hAnsi="Cambria Math" w:cs="Times New Roman"/>
                          <w:i/>
                          <w:snapToGrid w:val="0"/>
                          <w:color w:val="auto"/>
                          <w:spacing w:val="0"/>
                          <w:kern w:val="21"/>
                          <w:position w:val="0"/>
                          <w:sz w:val="24"/>
                          <w:szCs w:val="24"/>
                          <w:lang w:val="en-US" w:eastAsia="zh-CN"/>
                        </w:rPr>
                      </m:ctrlPr>
                    </m:num>
                    <m:den>
                      <m:r>
                        <m:rPr/>
                        <w:rPr>
                          <w:rFonts w:hint="default" w:ascii="Cambria Math" w:hAnsi="Cambria Math" w:cs="Times New Roman"/>
                          <w:snapToGrid w:val="0"/>
                          <w:color w:val="auto"/>
                          <w:spacing w:val="0"/>
                          <w:kern w:val="21"/>
                          <w:position w:val="0"/>
                          <w:sz w:val="24"/>
                          <w:szCs w:val="24"/>
                          <w:lang w:val="en-US" w:eastAsia="zh-CN"/>
                        </w:rPr>
                        <m:t>T</m:t>
                      </m:r>
                      <m:ctrlPr>
                        <w:rPr>
                          <w:rFonts w:hint="default" w:ascii="Cambria Math" w:hAnsi="Cambria Math" w:cs="Times New Roman"/>
                          <w:i/>
                          <w:snapToGrid w:val="0"/>
                          <w:color w:val="auto"/>
                          <w:spacing w:val="0"/>
                          <w:kern w:val="21"/>
                          <w:position w:val="0"/>
                          <w:sz w:val="24"/>
                          <w:szCs w:val="24"/>
                          <w:lang w:val="en-US" w:eastAsia="zh-CN"/>
                        </w:rPr>
                      </m:ctrlPr>
                    </m:den>
                  </m:f>
                  <m:nary>
                    <m:naryPr>
                      <m:chr m:val="∑"/>
                      <m:limLoc m:val="undOvr"/>
                      <m:supHide m:val="1"/>
                      <m:ctrlPr>
                        <w:rPr>
                          <w:rFonts w:hint="default" w:ascii="Cambria Math" w:hAnsi="Cambria Math" w:cs="Times New Roman"/>
                          <w:i/>
                          <w:snapToGrid w:val="0"/>
                          <w:color w:val="auto"/>
                          <w:spacing w:val="0"/>
                          <w:kern w:val="21"/>
                          <w:position w:val="0"/>
                          <w:sz w:val="24"/>
                          <w:szCs w:val="24"/>
                          <w:lang w:val="en-US" w:eastAsia="zh-CN"/>
                        </w:rPr>
                      </m:ctrlPr>
                    </m:naryPr>
                    <m:sub>
                      <m:r>
                        <m:rPr/>
                        <w:rPr>
                          <w:rFonts w:hint="default" w:ascii="Cambria Math" w:hAnsi="Cambria Math" w:cs="Times New Roman"/>
                          <w:snapToGrid w:val="0"/>
                          <w:color w:val="auto"/>
                          <w:spacing w:val="0"/>
                          <w:kern w:val="21"/>
                          <w:position w:val="0"/>
                          <w:sz w:val="24"/>
                          <w:szCs w:val="24"/>
                          <w:lang w:val="en-US" w:eastAsia="zh-CN"/>
                        </w:rPr>
                        <m:t>i</m:t>
                      </m:r>
                      <m:ctrlPr>
                        <w:rPr>
                          <w:rFonts w:hint="default" w:ascii="Cambria Math" w:hAnsi="Cambria Math" w:cs="Times New Roman"/>
                          <w:i/>
                          <w:snapToGrid w:val="0"/>
                          <w:color w:val="auto"/>
                          <w:spacing w:val="0"/>
                          <w:kern w:val="21"/>
                          <w:position w:val="0"/>
                          <w:sz w:val="24"/>
                          <w:szCs w:val="24"/>
                          <w:lang w:val="en-US" w:eastAsia="zh-CN"/>
                        </w:rPr>
                      </m:ctrlPr>
                    </m:sub>
                    <m:sup>
                      <m:ctrlPr>
                        <w:rPr>
                          <w:rFonts w:hint="default" w:ascii="Cambria Math" w:hAnsi="Cambria Math" w:cs="Times New Roman"/>
                          <w:i/>
                          <w:snapToGrid w:val="0"/>
                          <w:color w:val="auto"/>
                          <w:spacing w:val="0"/>
                          <w:kern w:val="21"/>
                          <w:position w:val="0"/>
                          <w:sz w:val="24"/>
                          <w:szCs w:val="24"/>
                          <w:lang w:val="en-US" w:eastAsia="zh-CN"/>
                        </w:rPr>
                      </m:ctrlPr>
                    </m:sup>
                    <m:e>
                      <m:sSub>
                        <m:sSubPr>
                          <m:ctrlPr>
                            <w:rPr>
                              <w:rFonts w:hint="default" w:ascii="Cambria Math" w:hAnsi="Cambria Math" w:cs="Times New Roman"/>
                              <w:i/>
                              <w:snapToGrid w:val="0"/>
                              <w:color w:val="auto"/>
                              <w:spacing w:val="0"/>
                              <w:kern w:val="21"/>
                              <w:position w:val="0"/>
                              <w:sz w:val="24"/>
                              <w:szCs w:val="24"/>
                              <w:lang w:val="en-US" w:eastAsia="zh-CN"/>
                            </w:rPr>
                          </m:ctrlPr>
                        </m:sSubPr>
                        <m:e>
                          <m:r>
                            <m:rPr/>
                            <w:rPr>
                              <w:rFonts w:hint="default" w:ascii="Cambria Math" w:hAnsi="Cambria Math" w:cs="Times New Roman"/>
                              <w:snapToGrid w:val="0"/>
                              <w:color w:val="auto"/>
                              <w:spacing w:val="0"/>
                              <w:kern w:val="21"/>
                              <w:position w:val="0"/>
                              <w:sz w:val="24"/>
                              <w:szCs w:val="24"/>
                              <w:lang w:val="en-US" w:eastAsia="zh-CN"/>
                            </w:rPr>
                            <m:t>t</m:t>
                          </m:r>
                          <m:ctrlPr>
                            <w:rPr>
                              <w:rFonts w:hint="default" w:ascii="Cambria Math" w:hAnsi="Cambria Math" w:cs="Times New Roman"/>
                              <w:i/>
                              <w:snapToGrid w:val="0"/>
                              <w:color w:val="auto"/>
                              <w:spacing w:val="0"/>
                              <w:kern w:val="21"/>
                              <w:position w:val="0"/>
                              <w:sz w:val="24"/>
                              <w:szCs w:val="24"/>
                              <w:lang w:val="en-US" w:eastAsia="zh-CN"/>
                            </w:rPr>
                          </m:ctrlPr>
                        </m:e>
                        <m:sub>
                          <m:r>
                            <m:rPr/>
                            <w:rPr>
                              <w:rFonts w:hint="default" w:ascii="Cambria Math" w:hAnsi="Cambria Math" w:cs="Times New Roman"/>
                              <w:snapToGrid w:val="0"/>
                              <w:color w:val="auto"/>
                              <w:spacing w:val="0"/>
                              <w:kern w:val="21"/>
                              <w:position w:val="0"/>
                              <w:sz w:val="24"/>
                              <w:szCs w:val="24"/>
                              <w:lang w:val="en-US" w:eastAsia="zh-CN"/>
                            </w:rPr>
                            <m:t>i</m:t>
                          </m:r>
                          <m:ctrlPr>
                            <w:rPr>
                              <w:rFonts w:hint="default" w:ascii="Cambria Math" w:hAnsi="Cambria Math" w:cs="Times New Roman"/>
                              <w:i/>
                              <w:snapToGrid w:val="0"/>
                              <w:color w:val="auto"/>
                              <w:spacing w:val="0"/>
                              <w:kern w:val="21"/>
                              <w:position w:val="0"/>
                              <w:sz w:val="24"/>
                              <w:szCs w:val="24"/>
                              <w:lang w:val="en-US" w:eastAsia="zh-CN"/>
                            </w:rPr>
                          </m:ctrlPr>
                        </m:sub>
                      </m:sSub>
                      <m:sSup>
                        <m:sSupPr>
                          <m:ctrlPr>
                            <w:rPr>
                              <w:rFonts w:hint="default" w:ascii="Cambria Math" w:hAnsi="Cambria Math" w:cs="Times New Roman"/>
                              <w:i/>
                              <w:snapToGrid w:val="0"/>
                              <w:color w:val="auto"/>
                              <w:spacing w:val="0"/>
                              <w:kern w:val="21"/>
                              <w:position w:val="0"/>
                              <w:sz w:val="24"/>
                              <w:szCs w:val="24"/>
                              <w:lang w:val="en-US" w:eastAsia="zh-CN"/>
                            </w:rPr>
                          </m:ctrlPr>
                        </m:sSupPr>
                        <m:e>
                          <m:r>
                            <m:rPr/>
                            <w:rPr>
                              <w:rFonts w:hint="default" w:ascii="Cambria Math" w:hAnsi="Cambria Math" w:cs="Times New Roman"/>
                              <w:snapToGrid w:val="0"/>
                              <w:color w:val="auto"/>
                              <w:spacing w:val="0"/>
                              <w:kern w:val="21"/>
                              <w:position w:val="0"/>
                              <w:sz w:val="24"/>
                              <w:szCs w:val="24"/>
                              <w:lang w:val="en-US" w:eastAsia="zh-CN"/>
                            </w:rPr>
                            <m:t>10</m:t>
                          </m:r>
                          <m:ctrlPr>
                            <w:rPr>
                              <w:rFonts w:hint="default" w:ascii="Cambria Math" w:hAnsi="Cambria Math" w:cs="Times New Roman"/>
                              <w:i/>
                              <w:snapToGrid w:val="0"/>
                              <w:color w:val="auto"/>
                              <w:spacing w:val="0"/>
                              <w:kern w:val="21"/>
                              <w:position w:val="0"/>
                              <w:sz w:val="24"/>
                              <w:szCs w:val="24"/>
                              <w:lang w:val="en-US" w:eastAsia="zh-CN"/>
                            </w:rPr>
                          </m:ctrlPr>
                        </m:e>
                        <m:sup>
                          <m:sSub>
                            <m:sSubPr>
                              <m:ctrlPr>
                                <w:rPr>
                                  <w:rFonts w:hint="default" w:ascii="Cambria Math" w:hAnsi="Cambria Math" w:cs="Times New Roman"/>
                                  <w:i/>
                                  <w:snapToGrid w:val="0"/>
                                  <w:color w:val="auto"/>
                                  <w:spacing w:val="0"/>
                                  <w:kern w:val="21"/>
                                  <w:position w:val="0"/>
                                  <w:sz w:val="24"/>
                                  <w:szCs w:val="24"/>
                                  <w:lang w:val="en-US" w:eastAsia="zh-CN"/>
                                </w:rPr>
                              </m:ctrlPr>
                            </m:sSubPr>
                            <m:e>
                              <m:r>
                                <m:rPr/>
                                <w:rPr>
                                  <w:rFonts w:hint="default" w:ascii="Cambria Math" w:hAnsi="Cambria Math" w:cs="Times New Roman"/>
                                  <w:snapToGrid w:val="0"/>
                                  <w:color w:val="auto"/>
                                  <w:spacing w:val="0"/>
                                  <w:kern w:val="21"/>
                                  <w:position w:val="0"/>
                                  <w:sz w:val="24"/>
                                  <w:szCs w:val="24"/>
                                  <w:lang w:val="en-US" w:eastAsia="zh-CN"/>
                                </w:rPr>
                                <m:t>0.1L</m:t>
                              </m:r>
                              <m:ctrlPr>
                                <w:rPr>
                                  <w:rFonts w:hint="default" w:ascii="Cambria Math" w:hAnsi="Cambria Math" w:cs="Times New Roman"/>
                                  <w:i/>
                                  <w:snapToGrid w:val="0"/>
                                  <w:color w:val="auto"/>
                                  <w:spacing w:val="0"/>
                                  <w:kern w:val="21"/>
                                  <w:position w:val="0"/>
                                  <w:sz w:val="24"/>
                                  <w:szCs w:val="24"/>
                                  <w:lang w:val="en-US" w:eastAsia="zh-CN"/>
                                </w:rPr>
                              </m:ctrlPr>
                            </m:e>
                            <m:sub>
                              <m:r>
                                <m:rPr/>
                                <w:rPr>
                                  <w:rFonts w:hint="default" w:ascii="Cambria Math" w:hAnsi="Cambria Math" w:cs="Times New Roman"/>
                                  <w:snapToGrid w:val="0"/>
                                  <w:color w:val="auto"/>
                                  <w:spacing w:val="0"/>
                                  <w:kern w:val="21"/>
                                  <w:position w:val="0"/>
                                  <w:sz w:val="24"/>
                                  <w:szCs w:val="24"/>
                                  <w:lang w:val="en-US" w:eastAsia="zh-CN"/>
                                </w:rPr>
                                <m:t>Ai</m:t>
                              </m:r>
                              <m:ctrlPr>
                                <w:rPr>
                                  <w:rFonts w:hint="default" w:ascii="Cambria Math" w:hAnsi="Cambria Math" w:cs="Times New Roman"/>
                                  <w:i/>
                                  <w:snapToGrid w:val="0"/>
                                  <w:color w:val="auto"/>
                                  <w:spacing w:val="0"/>
                                  <w:kern w:val="21"/>
                                  <w:position w:val="0"/>
                                  <w:sz w:val="24"/>
                                  <w:szCs w:val="24"/>
                                  <w:lang w:val="en-US" w:eastAsia="zh-CN"/>
                                </w:rPr>
                              </m:ctrlPr>
                            </m:sub>
                          </m:sSub>
                          <m:ctrlPr>
                            <w:rPr>
                              <w:rFonts w:hint="default" w:ascii="Cambria Math" w:hAnsi="Cambria Math" w:cs="Times New Roman"/>
                              <w:i/>
                              <w:snapToGrid w:val="0"/>
                              <w:color w:val="auto"/>
                              <w:spacing w:val="0"/>
                              <w:kern w:val="21"/>
                              <w:position w:val="0"/>
                              <w:sz w:val="24"/>
                              <w:szCs w:val="24"/>
                              <w:lang w:val="en-US" w:eastAsia="zh-CN"/>
                            </w:rPr>
                          </m:ctrlPr>
                        </m:sup>
                      </m:sSup>
                      <m:ctrlPr>
                        <w:rPr>
                          <w:rFonts w:hint="default" w:ascii="Cambria Math" w:hAnsi="Cambria Math" w:cs="Times New Roman"/>
                          <w:i/>
                          <w:snapToGrid w:val="0"/>
                          <w:color w:val="auto"/>
                          <w:spacing w:val="0"/>
                          <w:kern w:val="21"/>
                          <w:position w:val="0"/>
                          <w:sz w:val="24"/>
                          <w:szCs w:val="24"/>
                          <w:lang w:val="en-US" w:eastAsia="zh-CN"/>
                        </w:rPr>
                      </m:ctrlPr>
                    </m:e>
                  </m:nary>
                  <m:ctrlPr>
                    <w:rPr>
                      <w:rFonts w:hint="default" w:ascii="Cambria Math" w:hAnsi="Cambria Math" w:cs="Times New Roman"/>
                      <w:i/>
                      <w:snapToGrid w:val="0"/>
                      <w:color w:val="auto"/>
                      <w:spacing w:val="0"/>
                      <w:kern w:val="21"/>
                      <w:position w:val="0"/>
                      <w:sz w:val="24"/>
                      <w:szCs w:val="24"/>
                      <w:lang w:val="en-US" w:eastAsia="zh-CN"/>
                    </w:rPr>
                  </m:ctrlPr>
                </m:e>
              </m:d>
            </m:oMath>
            <w:r>
              <w:rPr>
                <w:rFonts w:hint="default" w:ascii="Times New Roman" w:hAnsi="Times New Roman" w:cs="Times New Roman"/>
                <w:color w:val="auto"/>
                <w:lang w:val="en-US" w:eastAsia="zh-CN"/>
              </w:rPr>
              <w:t xml:space="preserve">   </w:t>
            </w:r>
          </w:p>
          <w:p w14:paraId="6D1F750E">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式中：Leqg-建设项目声源在预测点的等效声级贡献值，dB（A）；</w:t>
            </w:r>
          </w:p>
          <w:p w14:paraId="441E33BE">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LAi-i-声源在预测点产生的A声级，dB（A）；</w:t>
            </w:r>
          </w:p>
          <w:p w14:paraId="398131A2">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t-预测计算的时间段，s；</w:t>
            </w:r>
          </w:p>
          <w:p w14:paraId="08F37609">
            <w:pPr>
              <w:pStyle w:val="4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ti-i-声源在T时段内的运行时间，s。</w:t>
            </w:r>
          </w:p>
          <w:p w14:paraId="28B63493">
            <w:pPr>
              <w:pStyle w:val="44"/>
              <w:bidi w:val="0"/>
              <w:rPr>
                <w:rFonts w:hint="default" w:ascii="Times New Roman" w:hAnsi="Times New Roman" w:cs="Times New Roman"/>
                <w:color w:val="auto"/>
                <w:lang w:val="en-US" w:eastAsia="zh-CN"/>
              </w:rPr>
            </w:pPr>
            <w:r>
              <w:rPr>
                <w:rFonts w:hint="eastAsia" w:cs="Times New Roman"/>
                <w:color w:val="auto"/>
                <w:lang w:val="en-US" w:eastAsia="zh-CN"/>
              </w:rPr>
              <w:t>②</w:t>
            </w:r>
            <w:r>
              <w:rPr>
                <w:rFonts w:hint="default" w:ascii="Times New Roman" w:hAnsi="Times New Roman" w:cs="Times New Roman"/>
                <w:color w:val="auto"/>
                <w:lang w:val="en-US" w:eastAsia="zh-CN"/>
              </w:rPr>
              <w:t>预测步骤</w:t>
            </w:r>
          </w:p>
          <w:p w14:paraId="7446BD12">
            <w:pPr>
              <w:pStyle w:val="44"/>
              <w:bidi w:val="0"/>
              <w:rPr>
                <w:rFonts w:hint="default" w:ascii="Times New Roman" w:hAnsi="Times New Roman" w:cs="Times New Roman"/>
                <w:color w:val="auto"/>
                <w:lang w:val="en-US" w:eastAsia="zh-CN"/>
              </w:rPr>
            </w:pPr>
            <w:r>
              <w:rPr>
                <w:rFonts w:hint="eastAsia" w:cs="Times New Roman"/>
                <w:color w:val="auto"/>
                <w:lang w:val="en-US" w:eastAsia="zh-CN"/>
              </w:rPr>
              <w:t xml:space="preserve">A </w:t>
            </w:r>
            <w:r>
              <w:rPr>
                <w:rFonts w:hint="default" w:ascii="Times New Roman" w:hAnsi="Times New Roman" w:cs="Times New Roman"/>
                <w:color w:val="auto"/>
                <w:lang w:val="en-US" w:eastAsia="zh-CN"/>
              </w:rPr>
              <w:t>建立坐标系，确定各声源坐标和预测点坐标，并根据声源性质以及预测点与声源之间的距离等情况，把声源简化成点声源，或线声源，或面声源。</w:t>
            </w:r>
          </w:p>
          <w:p w14:paraId="377553DB">
            <w:pPr>
              <w:pStyle w:val="44"/>
              <w:bidi w:val="0"/>
              <w:rPr>
                <w:rFonts w:hint="default" w:ascii="Times New Roman" w:hAnsi="Times New Roman" w:cs="Times New Roman"/>
                <w:color w:val="auto"/>
              </w:rPr>
            </w:pPr>
            <w:r>
              <w:rPr>
                <w:rFonts w:hint="eastAsia" w:cs="Times New Roman"/>
                <w:color w:val="auto"/>
                <w:lang w:val="en-US" w:eastAsia="zh-CN"/>
              </w:rPr>
              <w:t xml:space="preserve">B </w:t>
            </w:r>
            <w:r>
              <w:rPr>
                <w:rFonts w:hint="default" w:ascii="Times New Roman" w:hAnsi="Times New Roman" w:cs="Times New Roman"/>
                <w:color w:val="auto"/>
                <w:lang w:val="en-US" w:eastAsia="zh-CN"/>
              </w:rPr>
              <w:t>根据已获得的声源源强的数据和各声源到预测点的声波传播条件资料，计算出噪声从各声源传播到预测点的声衰减量，由此计算出各声源单独作用在预测点时产生的A声级（LAi）或等效感觉噪声级（Leqn）。③</w:t>
            </w:r>
            <w:r>
              <w:rPr>
                <w:rFonts w:hint="default" w:ascii="Times New Roman" w:hAnsi="Times New Roman" w:cs="Times New Roman"/>
                <w:color w:val="auto"/>
              </w:rPr>
              <w:t>预测结果</w:t>
            </w:r>
          </w:p>
          <w:p w14:paraId="13A51EF0">
            <w:pPr>
              <w:pStyle w:val="4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③</w:t>
            </w:r>
            <w:r>
              <w:rPr>
                <w:rFonts w:hint="default" w:ascii="Times New Roman" w:hAnsi="Times New Roman" w:eastAsia="宋体" w:cs="Times New Roman"/>
                <w:color w:val="auto"/>
                <w:lang w:val="en-US" w:eastAsia="zh-CN"/>
              </w:rPr>
              <w:t>预测结果</w:t>
            </w:r>
          </w:p>
          <w:p w14:paraId="08389E57">
            <w:pPr>
              <w:pStyle w:val="4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根据《环境影响评价技术导则 声环境》（HJ2.4-2021），项目设备等运行噪声对各预测点影响预测结果见下表。</w:t>
            </w:r>
          </w:p>
          <w:p w14:paraId="13B72369">
            <w:pPr>
              <w:pStyle w:val="25"/>
              <w:bidi w:val="0"/>
              <w:rPr>
                <w:rFonts w:hint="default" w:ascii="Times New Roman" w:hAnsi="Times New Roman" w:cs="Times New Roman"/>
                <w:color w:val="auto"/>
                <w:lang w:val="zh-CN" w:eastAsia="zh-CN"/>
              </w:rPr>
            </w:pPr>
            <w:r>
              <w:rPr>
                <w:rFonts w:hint="default" w:ascii="Times New Roman" w:hAnsi="Times New Roman" w:cs="Times New Roman"/>
                <w:color w:val="auto"/>
                <w:lang w:val="zh-CN" w:eastAsia="zh-CN"/>
              </w:rPr>
              <w:t>表4-1</w:t>
            </w:r>
            <w:r>
              <w:rPr>
                <w:rFonts w:hint="eastAsia" w:cs="Times New Roman"/>
                <w:color w:val="auto"/>
                <w:lang w:val="en-US" w:eastAsia="zh-CN"/>
              </w:rPr>
              <w:t>2</w:t>
            </w:r>
            <w:r>
              <w:rPr>
                <w:rFonts w:hint="default" w:ascii="Times New Roman" w:hAnsi="Times New Roman" w:cs="Times New Roman"/>
                <w:color w:val="auto"/>
                <w:lang w:val="zh-CN" w:eastAsia="zh-CN"/>
              </w:rPr>
              <w:t xml:space="preserve">           本项目噪声预测结果与达标分析表        单位：dB（A）</w:t>
            </w:r>
          </w:p>
          <w:tbl>
            <w:tblPr>
              <w:tblStyle w:val="17"/>
              <w:tblW w:w="827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554"/>
              <w:gridCol w:w="2150"/>
              <w:gridCol w:w="816"/>
              <w:gridCol w:w="816"/>
              <w:gridCol w:w="1008"/>
              <w:gridCol w:w="1009"/>
              <w:gridCol w:w="961"/>
              <w:gridCol w:w="963"/>
            </w:tblGrid>
            <w:tr w14:paraId="658093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vMerge w:val="restart"/>
                  <w:noWrap w:val="0"/>
                  <w:vAlign w:val="center"/>
                </w:tcPr>
                <w:p w14:paraId="789D9CD2">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2150" w:type="dxa"/>
                  <w:vMerge w:val="restart"/>
                  <w:noWrap w:val="0"/>
                  <w:vAlign w:val="center"/>
                </w:tcPr>
                <w:p w14:paraId="6E0AF955">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预测点位名称</w:t>
                  </w:r>
                </w:p>
              </w:tc>
              <w:tc>
                <w:tcPr>
                  <w:tcW w:w="1632" w:type="dxa"/>
                  <w:gridSpan w:val="2"/>
                  <w:noWrap w:val="0"/>
                  <w:vAlign w:val="center"/>
                </w:tcPr>
                <w:p w14:paraId="10E2E93A">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噪声标准</w:t>
                  </w:r>
                </w:p>
              </w:tc>
              <w:tc>
                <w:tcPr>
                  <w:tcW w:w="2017" w:type="dxa"/>
                  <w:gridSpan w:val="2"/>
                  <w:noWrap w:val="0"/>
                  <w:vAlign w:val="center"/>
                </w:tcPr>
                <w:p w14:paraId="5899D387">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噪声贡献值</w:t>
                  </w:r>
                </w:p>
              </w:tc>
              <w:tc>
                <w:tcPr>
                  <w:tcW w:w="1924" w:type="dxa"/>
                  <w:gridSpan w:val="2"/>
                  <w:noWrap w:val="0"/>
                  <w:vAlign w:val="center"/>
                </w:tcPr>
                <w:p w14:paraId="6C9C5490">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超标和达标情况</w:t>
                  </w:r>
                </w:p>
              </w:tc>
            </w:tr>
            <w:tr w14:paraId="2A7604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vMerge w:val="continue"/>
                  <w:noWrap w:val="0"/>
                  <w:vAlign w:val="center"/>
                </w:tcPr>
                <w:p w14:paraId="337BAAD7">
                  <w:pPr>
                    <w:pStyle w:val="24"/>
                    <w:bidi w:val="0"/>
                    <w:jc w:val="center"/>
                    <w:rPr>
                      <w:rFonts w:hint="default" w:ascii="Times New Roman" w:hAnsi="Times New Roman" w:eastAsia="宋体" w:cs="Times New Roman"/>
                      <w:b/>
                      <w:bCs/>
                      <w:color w:val="auto"/>
                    </w:rPr>
                  </w:pPr>
                </w:p>
              </w:tc>
              <w:tc>
                <w:tcPr>
                  <w:tcW w:w="2150" w:type="dxa"/>
                  <w:vMerge w:val="continue"/>
                  <w:noWrap w:val="0"/>
                  <w:vAlign w:val="center"/>
                </w:tcPr>
                <w:p w14:paraId="4B3795D5">
                  <w:pPr>
                    <w:pStyle w:val="24"/>
                    <w:bidi w:val="0"/>
                    <w:jc w:val="center"/>
                    <w:rPr>
                      <w:rFonts w:hint="default" w:ascii="Times New Roman" w:hAnsi="Times New Roman" w:eastAsia="宋体" w:cs="Times New Roman"/>
                      <w:b/>
                      <w:bCs/>
                      <w:color w:val="auto"/>
                    </w:rPr>
                  </w:pPr>
                </w:p>
              </w:tc>
              <w:tc>
                <w:tcPr>
                  <w:tcW w:w="816" w:type="dxa"/>
                  <w:noWrap w:val="0"/>
                  <w:vAlign w:val="center"/>
                </w:tcPr>
                <w:p w14:paraId="18978809">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昼间</w:t>
                  </w:r>
                </w:p>
              </w:tc>
              <w:tc>
                <w:tcPr>
                  <w:tcW w:w="816" w:type="dxa"/>
                  <w:noWrap w:val="0"/>
                  <w:vAlign w:val="center"/>
                </w:tcPr>
                <w:p w14:paraId="11649B2D">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夜间</w:t>
                  </w:r>
                </w:p>
              </w:tc>
              <w:tc>
                <w:tcPr>
                  <w:tcW w:w="1008" w:type="dxa"/>
                  <w:noWrap w:val="0"/>
                  <w:vAlign w:val="center"/>
                </w:tcPr>
                <w:p w14:paraId="31789794">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昼间</w:t>
                  </w:r>
                </w:p>
              </w:tc>
              <w:tc>
                <w:tcPr>
                  <w:tcW w:w="1009" w:type="dxa"/>
                  <w:noWrap w:val="0"/>
                  <w:vAlign w:val="center"/>
                </w:tcPr>
                <w:p w14:paraId="7E20B8F3">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夜间</w:t>
                  </w:r>
                </w:p>
              </w:tc>
              <w:tc>
                <w:tcPr>
                  <w:tcW w:w="961" w:type="dxa"/>
                  <w:noWrap w:val="0"/>
                  <w:vAlign w:val="center"/>
                </w:tcPr>
                <w:p w14:paraId="1E7B95DD">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昼间</w:t>
                  </w:r>
                </w:p>
              </w:tc>
              <w:tc>
                <w:tcPr>
                  <w:tcW w:w="963" w:type="dxa"/>
                  <w:noWrap w:val="0"/>
                  <w:vAlign w:val="center"/>
                </w:tcPr>
                <w:p w14:paraId="5A9B42E2">
                  <w:pPr>
                    <w:pStyle w:val="24"/>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夜间</w:t>
                  </w:r>
                </w:p>
              </w:tc>
            </w:tr>
            <w:tr w14:paraId="1FB36D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noWrap w:val="0"/>
                  <w:vAlign w:val="center"/>
                </w:tcPr>
                <w:p w14:paraId="2428A936">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1#</w:t>
                  </w:r>
                </w:p>
              </w:tc>
              <w:tc>
                <w:tcPr>
                  <w:tcW w:w="2150" w:type="dxa"/>
                  <w:noWrap w:val="0"/>
                  <w:vAlign w:val="center"/>
                </w:tcPr>
                <w:p w14:paraId="1DF6BD3A">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厂界北侧</w:t>
                  </w:r>
                </w:p>
              </w:tc>
              <w:tc>
                <w:tcPr>
                  <w:tcW w:w="816" w:type="dxa"/>
                  <w:vMerge w:val="restart"/>
                  <w:noWrap w:val="0"/>
                  <w:vAlign w:val="center"/>
                </w:tcPr>
                <w:p w14:paraId="3F1587D0">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65</w:t>
                  </w:r>
                </w:p>
              </w:tc>
              <w:tc>
                <w:tcPr>
                  <w:tcW w:w="816" w:type="dxa"/>
                  <w:vMerge w:val="restart"/>
                  <w:noWrap w:val="0"/>
                  <w:vAlign w:val="center"/>
                </w:tcPr>
                <w:p w14:paraId="05967635">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55</w:t>
                  </w:r>
                </w:p>
              </w:tc>
              <w:tc>
                <w:tcPr>
                  <w:tcW w:w="1008" w:type="dxa"/>
                  <w:noWrap w:val="0"/>
                  <w:vAlign w:val="center"/>
                </w:tcPr>
                <w:p w14:paraId="1AD08FFE">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53</w:t>
                  </w:r>
                </w:p>
              </w:tc>
              <w:tc>
                <w:tcPr>
                  <w:tcW w:w="1009" w:type="dxa"/>
                  <w:noWrap w:val="0"/>
                  <w:vAlign w:val="center"/>
                </w:tcPr>
                <w:p w14:paraId="7C0035C5">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45</w:t>
                  </w:r>
                </w:p>
              </w:tc>
              <w:tc>
                <w:tcPr>
                  <w:tcW w:w="961" w:type="dxa"/>
                  <w:vMerge w:val="restart"/>
                  <w:noWrap w:val="0"/>
                  <w:vAlign w:val="center"/>
                </w:tcPr>
                <w:p w14:paraId="531C9AD7">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达标</w:t>
                  </w:r>
                </w:p>
              </w:tc>
              <w:tc>
                <w:tcPr>
                  <w:tcW w:w="963" w:type="dxa"/>
                  <w:vMerge w:val="restart"/>
                  <w:noWrap w:val="0"/>
                  <w:vAlign w:val="center"/>
                </w:tcPr>
                <w:p w14:paraId="4BDFEF34">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达标</w:t>
                  </w:r>
                </w:p>
              </w:tc>
            </w:tr>
            <w:tr w14:paraId="778002B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noWrap w:val="0"/>
                  <w:vAlign w:val="center"/>
                </w:tcPr>
                <w:p w14:paraId="4EB59670">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2#</w:t>
                  </w:r>
                </w:p>
              </w:tc>
              <w:tc>
                <w:tcPr>
                  <w:tcW w:w="2150" w:type="dxa"/>
                  <w:noWrap w:val="0"/>
                  <w:vAlign w:val="center"/>
                </w:tcPr>
                <w:p w14:paraId="65184C70">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厂界东侧</w:t>
                  </w:r>
                </w:p>
              </w:tc>
              <w:tc>
                <w:tcPr>
                  <w:tcW w:w="816" w:type="dxa"/>
                  <w:vMerge w:val="continue"/>
                  <w:noWrap w:val="0"/>
                  <w:vAlign w:val="center"/>
                </w:tcPr>
                <w:p w14:paraId="0D1695DE">
                  <w:pPr>
                    <w:pStyle w:val="24"/>
                    <w:bidi w:val="0"/>
                    <w:jc w:val="center"/>
                    <w:rPr>
                      <w:rFonts w:hint="default" w:ascii="Times New Roman" w:hAnsi="Times New Roman" w:eastAsia="宋体" w:cs="Times New Roman"/>
                      <w:b w:val="0"/>
                      <w:bCs w:val="0"/>
                      <w:color w:val="auto"/>
                    </w:rPr>
                  </w:pPr>
                </w:p>
              </w:tc>
              <w:tc>
                <w:tcPr>
                  <w:tcW w:w="816" w:type="dxa"/>
                  <w:vMerge w:val="continue"/>
                  <w:noWrap w:val="0"/>
                  <w:vAlign w:val="center"/>
                </w:tcPr>
                <w:p w14:paraId="5BD8AC98">
                  <w:pPr>
                    <w:pStyle w:val="24"/>
                    <w:bidi w:val="0"/>
                    <w:jc w:val="center"/>
                    <w:rPr>
                      <w:rFonts w:hint="default" w:ascii="Times New Roman" w:hAnsi="Times New Roman" w:eastAsia="宋体" w:cs="Times New Roman"/>
                      <w:b w:val="0"/>
                      <w:bCs w:val="0"/>
                      <w:color w:val="auto"/>
                    </w:rPr>
                  </w:pPr>
                </w:p>
              </w:tc>
              <w:tc>
                <w:tcPr>
                  <w:tcW w:w="1008" w:type="dxa"/>
                  <w:noWrap w:val="0"/>
                  <w:vAlign w:val="center"/>
                </w:tcPr>
                <w:p w14:paraId="2933FFCE">
                  <w:pPr>
                    <w:pStyle w:val="24"/>
                    <w:bidi w:val="0"/>
                    <w:jc w:val="center"/>
                    <w:rPr>
                      <w:rFonts w:hint="default" w:ascii="Times New Roman" w:hAnsi="Times New Roman" w:eastAsia="宋体" w:cs="Times New Roman"/>
                      <w:b w:val="0"/>
                      <w:bCs w:val="0"/>
                      <w:color w:val="auto"/>
                    </w:rPr>
                  </w:pPr>
                  <w:r>
                    <w:rPr>
                      <w:rFonts w:hint="eastAsia" w:cs="Times New Roman"/>
                      <w:b w:val="0"/>
                      <w:bCs w:val="0"/>
                      <w:color w:val="auto"/>
                      <w:lang w:val="en-US" w:eastAsia="zh-CN"/>
                    </w:rPr>
                    <w:t>4</w:t>
                  </w:r>
                  <w:r>
                    <w:rPr>
                      <w:rFonts w:hint="eastAsia" w:ascii="Times New Roman" w:hAnsi="Times New Roman" w:eastAsia="宋体" w:cs="Times New Roman"/>
                      <w:b w:val="0"/>
                      <w:bCs w:val="0"/>
                      <w:color w:val="auto"/>
                    </w:rPr>
                    <w:t>5</w:t>
                  </w:r>
                </w:p>
              </w:tc>
              <w:tc>
                <w:tcPr>
                  <w:tcW w:w="1009" w:type="dxa"/>
                  <w:noWrap w:val="0"/>
                  <w:vAlign w:val="center"/>
                </w:tcPr>
                <w:p w14:paraId="21C85A4D">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35</w:t>
                  </w:r>
                </w:p>
              </w:tc>
              <w:tc>
                <w:tcPr>
                  <w:tcW w:w="961" w:type="dxa"/>
                  <w:vMerge w:val="continue"/>
                  <w:noWrap w:val="0"/>
                  <w:vAlign w:val="center"/>
                </w:tcPr>
                <w:p w14:paraId="6D3EB2B4">
                  <w:pPr>
                    <w:pStyle w:val="24"/>
                    <w:bidi w:val="0"/>
                    <w:jc w:val="center"/>
                    <w:rPr>
                      <w:rFonts w:hint="default" w:ascii="Times New Roman" w:hAnsi="Times New Roman" w:eastAsia="宋体" w:cs="Times New Roman"/>
                      <w:b w:val="0"/>
                      <w:bCs w:val="0"/>
                      <w:color w:val="auto"/>
                    </w:rPr>
                  </w:pPr>
                </w:p>
              </w:tc>
              <w:tc>
                <w:tcPr>
                  <w:tcW w:w="963" w:type="dxa"/>
                  <w:vMerge w:val="continue"/>
                  <w:noWrap w:val="0"/>
                  <w:vAlign w:val="center"/>
                </w:tcPr>
                <w:p w14:paraId="6A57C708">
                  <w:pPr>
                    <w:pStyle w:val="24"/>
                    <w:bidi w:val="0"/>
                    <w:jc w:val="center"/>
                    <w:rPr>
                      <w:rFonts w:hint="default" w:ascii="Times New Roman" w:hAnsi="Times New Roman" w:eastAsia="宋体" w:cs="Times New Roman"/>
                      <w:b w:val="0"/>
                      <w:bCs w:val="0"/>
                      <w:color w:val="auto"/>
                    </w:rPr>
                  </w:pPr>
                </w:p>
              </w:tc>
            </w:tr>
            <w:tr w14:paraId="01AC63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noWrap w:val="0"/>
                  <w:vAlign w:val="center"/>
                </w:tcPr>
                <w:p w14:paraId="54B32EB6">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3#</w:t>
                  </w:r>
                </w:p>
              </w:tc>
              <w:tc>
                <w:tcPr>
                  <w:tcW w:w="2150" w:type="dxa"/>
                  <w:noWrap w:val="0"/>
                  <w:vAlign w:val="center"/>
                </w:tcPr>
                <w:p w14:paraId="49061FE1">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厂界南侧</w:t>
                  </w:r>
                </w:p>
              </w:tc>
              <w:tc>
                <w:tcPr>
                  <w:tcW w:w="816" w:type="dxa"/>
                  <w:vMerge w:val="continue"/>
                  <w:noWrap w:val="0"/>
                  <w:vAlign w:val="center"/>
                </w:tcPr>
                <w:p w14:paraId="59C11B03">
                  <w:pPr>
                    <w:pStyle w:val="24"/>
                    <w:bidi w:val="0"/>
                    <w:jc w:val="center"/>
                    <w:rPr>
                      <w:rFonts w:hint="default" w:ascii="Times New Roman" w:hAnsi="Times New Roman" w:eastAsia="宋体" w:cs="Times New Roman"/>
                      <w:b w:val="0"/>
                      <w:bCs w:val="0"/>
                      <w:color w:val="auto"/>
                    </w:rPr>
                  </w:pPr>
                </w:p>
              </w:tc>
              <w:tc>
                <w:tcPr>
                  <w:tcW w:w="816" w:type="dxa"/>
                  <w:vMerge w:val="continue"/>
                  <w:noWrap w:val="0"/>
                  <w:vAlign w:val="center"/>
                </w:tcPr>
                <w:p w14:paraId="0B885089">
                  <w:pPr>
                    <w:pStyle w:val="24"/>
                    <w:bidi w:val="0"/>
                    <w:jc w:val="center"/>
                    <w:rPr>
                      <w:rFonts w:hint="default" w:ascii="Times New Roman" w:hAnsi="Times New Roman" w:eastAsia="宋体" w:cs="Times New Roman"/>
                      <w:b w:val="0"/>
                      <w:bCs w:val="0"/>
                      <w:color w:val="auto"/>
                    </w:rPr>
                  </w:pPr>
                </w:p>
              </w:tc>
              <w:tc>
                <w:tcPr>
                  <w:tcW w:w="1008" w:type="dxa"/>
                  <w:noWrap w:val="0"/>
                  <w:vAlign w:val="center"/>
                </w:tcPr>
                <w:p w14:paraId="5CCF643C">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43</w:t>
                  </w:r>
                </w:p>
              </w:tc>
              <w:tc>
                <w:tcPr>
                  <w:tcW w:w="1009" w:type="dxa"/>
                  <w:noWrap w:val="0"/>
                  <w:vAlign w:val="center"/>
                </w:tcPr>
                <w:p w14:paraId="660090EE">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33</w:t>
                  </w:r>
                </w:p>
              </w:tc>
              <w:tc>
                <w:tcPr>
                  <w:tcW w:w="961" w:type="dxa"/>
                  <w:vMerge w:val="continue"/>
                  <w:noWrap w:val="0"/>
                  <w:vAlign w:val="center"/>
                </w:tcPr>
                <w:p w14:paraId="28AE06F0">
                  <w:pPr>
                    <w:pStyle w:val="24"/>
                    <w:bidi w:val="0"/>
                    <w:jc w:val="center"/>
                    <w:rPr>
                      <w:rFonts w:hint="default" w:ascii="Times New Roman" w:hAnsi="Times New Roman" w:eastAsia="宋体" w:cs="Times New Roman"/>
                      <w:b w:val="0"/>
                      <w:bCs w:val="0"/>
                      <w:color w:val="auto"/>
                    </w:rPr>
                  </w:pPr>
                </w:p>
              </w:tc>
              <w:tc>
                <w:tcPr>
                  <w:tcW w:w="963" w:type="dxa"/>
                  <w:vMerge w:val="continue"/>
                  <w:noWrap w:val="0"/>
                  <w:vAlign w:val="center"/>
                </w:tcPr>
                <w:p w14:paraId="1F0590E4">
                  <w:pPr>
                    <w:pStyle w:val="24"/>
                    <w:bidi w:val="0"/>
                    <w:jc w:val="center"/>
                    <w:rPr>
                      <w:rFonts w:hint="default" w:ascii="Times New Roman" w:hAnsi="Times New Roman" w:eastAsia="宋体" w:cs="Times New Roman"/>
                      <w:b w:val="0"/>
                      <w:bCs w:val="0"/>
                      <w:color w:val="auto"/>
                    </w:rPr>
                  </w:pPr>
                </w:p>
              </w:tc>
            </w:tr>
            <w:tr w14:paraId="5290F34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554" w:type="dxa"/>
                  <w:noWrap w:val="0"/>
                  <w:vAlign w:val="center"/>
                </w:tcPr>
                <w:p w14:paraId="5487F0FA">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4#</w:t>
                  </w:r>
                </w:p>
              </w:tc>
              <w:tc>
                <w:tcPr>
                  <w:tcW w:w="2150" w:type="dxa"/>
                  <w:noWrap w:val="0"/>
                  <w:vAlign w:val="center"/>
                </w:tcPr>
                <w:p w14:paraId="11F45CCE">
                  <w:pPr>
                    <w:pStyle w:val="24"/>
                    <w:bidi w:val="0"/>
                    <w:jc w:val="center"/>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color w:val="auto"/>
                    </w:rPr>
                    <w:t>厂界西侧</w:t>
                  </w:r>
                </w:p>
              </w:tc>
              <w:tc>
                <w:tcPr>
                  <w:tcW w:w="816" w:type="dxa"/>
                  <w:vMerge w:val="continue"/>
                  <w:noWrap w:val="0"/>
                  <w:vAlign w:val="center"/>
                </w:tcPr>
                <w:p w14:paraId="56E23E3B">
                  <w:pPr>
                    <w:pStyle w:val="24"/>
                    <w:bidi w:val="0"/>
                    <w:jc w:val="center"/>
                    <w:rPr>
                      <w:rFonts w:hint="default" w:ascii="Times New Roman" w:hAnsi="Times New Roman" w:eastAsia="宋体" w:cs="Times New Roman"/>
                      <w:b w:val="0"/>
                      <w:bCs w:val="0"/>
                      <w:color w:val="auto"/>
                    </w:rPr>
                  </w:pPr>
                </w:p>
              </w:tc>
              <w:tc>
                <w:tcPr>
                  <w:tcW w:w="816" w:type="dxa"/>
                  <w:vMerge w:val="continue"/>
                  <w:noWrap w:val="0"/>
                  <w:vAlign w:val="center"/>
                </w:tcPr>
                <w:p w14:paraId="18065B18">
                  <w:pPr>
                    <w:pStyle w:val="24"/>
                    <w:bidi w:val="0"/>
                    <w:jc w:val="center"/>
                    <w:rPr>
                      <w:rFonts w:hint="default" w:ascii="Times New Roman" w:hAnsi="Times New Roman" w:eastAsia="宋体" w:cs="Times New Roman"/>
                      <w:b w:val="0"/>
                      <w:bCs w:val="0"/>
                      <w:color w:val="auto"/>
                    </w:rPr>
                  </w:pPr>
                </w:p>
              </w:tc>
              <w:tc>
                <w:tcPr>
                  <w:tcW w:w="1008" w:type="dxa"/>
                  <w:noWrap w:val="0"/>
                  <w:vAlign w:val="center"/>
                </w:tcPr>
                <w:p w14:paraId="57D21FA9">
                  <w:pPr>
                    <w:pStyle w:val="24"/>
                    <w:bidi w:val="0"/>
                    <w:jc w:val="center"/>
                    <w:rPr>
                      <w:rFonts w:hint="default" w:ascii="Times New Roman" w:hAnsi="Times New Roman" w:eastAsia="宋体" w:cs="Times New Roman"/>
                      <w:b w:val="0"/>
                      <w:bCs w:val="0"/>
                      <w:color w:val="auto"/>
                      <w:lang w:val="en-US" w:eastAsia="zh-CN"/>
                    </w:rPr>
                  </w:pPr>
                  <w:r>
                    <w:rPr>
                      <w:rFonts w:hint="eastAsia" w:cs="Times New Roman"/>
                      <w:b w:val="0"/>
                      <w:bCs w:val="0"/>
                      <w:color w:val="auto"/>
                      <w:lang w:val="en-US" w:eastAsia="zh-CN"/>
                    </w:rPr>
                    <w:t>40</w:t>
                  </w:r>
                </w:p>
              </w:tc>
              <w:tc>
                <w:tcPr>
                  <w:tcW w:w="1009" w:type="dxa"/>
                  <w:noWrap w:val="0"/>
                  <w:vAlign w:val="center"/>
                </w:tcPr>
                <w:p w14:paraId="77B4BC67">
                  <w:pPr>
                    <w:pStyle w:val="24"/>
                    <w:bidi w:val="0"/>
                    <w:jc w:val="center"/>
                    <w:rPr>
                      <w:rFonts w:hint="eastAsia" w:ascii="Times New Roman" w:hAnsi="Times New Roman" w:eastAsia="宋体" w:cs="Times New Roman"/>
                      <w:b w:val="0"/>
                      <w:bCs w:val="0"/>
                      <w:color w:val="auto"/>
                      <w:lang w:eastAsia="zh-CN"/>
                    </w:rPr>
                  </w:pPr>
                  <w:r>
                    <w:rPr>
                      <w:rFonts w:hint="eastAsia" w:cs="Times New Roman"/>
                      <w:b w:val="0"/>
                      <w:bCs w:val="0"/>
                      <w:color w:val="auto"/>
                      <w:lang w:val="en-US" w:eastAsia="zh-CN"/>
                    </w:rPr>
                    <w:t>30</w:t>
                  </w:r>
                </w:p>
              </w:tc>
              <w:tc>
                <w:tcPr>
                  <w:tcW w:w="961" w:type="dxa"/>
                  <w:vMerge w:val="continue"/>
                  <w:noWrap w:val="0"/>
                  <w:vAlign w:val="center"/>
                </w:tcPr>
                <w:p w14:paraId="6CA703F3">
                  <w:pPr>
                    <w:pStyle w:val="24"/>
                    <w:bidi w:val="0"/>
                    <w:jc w:val="center"/>
                    <w:rPr>
                      <w:rFonts w:hint="default" w:ascii="Times New Roman" w:hAnsi="Times New Roman" w:eastAsia="宋体" w:cs="Times New Roman"/>
                      <w:b w:val="0"/>
                      <w:bCs w:val="0"/>
                      <w:color w:val="auto"/>
                    </w:rPr>
                  </w:pPr>
                </w:p>
              </w:tc>
              <w:tc>
                <w:tcPr>
                  <w:tcW w:w="963" w:type="dxa"/>
                  <w:vMerge w:val="continue"/>
                  <w:noWrap w:val="0"/>
                  <w:vAlign w:val="center"/>
                </w:tcPr>
                <w:p w14:paraId="4FDC84DC">
                  <w:pPr>
                    <w:pStyle w:val="24"/>
                    <w:bidi w:val="0"/>
                    <w:jc w:val="center"/>
                    <w:rPr>
                      <w:rFonts w:hint="default" w:ascii="Times New Roman" w:hAnsi="Times New Roman" w:eastAsia="宋体" w:cs="Times New Roman"/>
                      <w:b w:val="0"/>
                      <w:bCs w:val="0"/>
                      <w:color w:val="auto"/>
                    </w:rPr>
                  </w:pPr>
                </w:p>
              </w:tc>
            </w:tr>
          </w:tbl>
          <w:p w14:paraId="471EE691">
            <w:pPr>
              <w:pStyle w:val="44"/>
              <w:bidi w:val="0"/>
              <w:rPr>
                <w:rFonts w:hint="default" w:ascii="Times New Roman" w:hAnsi="Times New Roman" w:eastAsia="宋体" w:cs="Times New Roman"/>
                <w:color w:val="auto"/>
                <w:lang w:val="en-US" w:eastAsia="zh-CN"/>
              </w:rPr>
            </w:pPr>
            <w:r>
              <w:rPr>
                <w:rStyle w:val="43"/>
                <w:rFonts w:hint="default" w:ascii="Times New Roman" w:hAnsi="Times New Roman" w:cs="Times New Roman"/>
                <w:color w:val="auto"/>
                <w:lang w:val="en-US" w:eastAsia="zh-CN"/>
              </w:rPr>
              <w:t>由上表可知，在正常运行情况下，项目昼夜间东、西、南、北厂界噪声值可满足《</w:t>
            </w:r>
            <w:r>
              <w:rPr>
                <w:rFonts w:hint="default" w:ascii="Times New Roman" w:hAnsi="Times New Roman" w:eastAsia="宋体" w:cs="Times New Roman"/>
                <w:color w:val="auto"/>
                <w:lang w:val="en-US" w:eastAsia="zh-CN"/>
              </w:rPr>
              <w:t>工业企业厂界环境噪声排放标准》（GB12348-2008）中的</w:t>
            </w: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类排放标准要求。</w:t>
            </w:r>
          </w:p>
          <w:p w14:paraId="59270A40">
            <w:pPr>
              <w:pStyle w:val="4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④</w:t>
            </w:r>
            <w:r>
              <w:rPr>
                <w:rFonts w:hint="default" w:ascii="Times New Roman" w:hAnsi="Times New Roman" w:eastAsia="宋体" w:cs="Times New Roman"/>
                <w:color w:val="auto"/>
                <w:lang w:val="en-US" w:eastAsia="zh-CN"/>
              </w:rPr>
              <w:t>噪声防治措施</w:t>
            </w:r>
          </w:p>
          <w:p w14:paraId="00BB6027">
            <w:pPr>
              <w:pStyle w:val="4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根据《排污许可证申请与核发技术规范 工业噪声》（HJ1301-2023），工业噪声污染防治应满足GB/T50087和HJ2034中噪声控制相关要求。</w:t>
            </w:r>
          </w:p>
          <w:p w14:paraId="52DD2A45">
            <w:pPr>
              <w:pStyle w:val="4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 xml:space="preserve">A </w:t>
            </w:r>
            <w:r>
              <w:rPr>
                <w:rFonts w:hint="default" w:ascii="Times New Roman" w:hAnsi="Times New Roman" w:eastAsia="宋体" w:cs="Times New Roman"/>
                <w:color w:val="auto"/>
                <w:lang w:val="en-US" w:eastAsia="zh-CN"/>
              </w:rPr>
              <w:t>设备的运行和维护应符合设备说明书和相关技术规范的规定，定期检查其活动机构和密封机构磨损情况等，及时保养、更换。</w:t>
            </w:r>
          </w:p>
          <w:p w14:paraId="42FBAC30">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B</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噪声控制设备中的易损设备、配件和通用材料。由工业噪声排污单位按机械设备管理规程和工艺安全运行要求储备。保证治理设施的正常使用。</w:t>
            </w:r>
          </w:p>
          <w:p w14:paraId="7BA8D3C3">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C</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所有噪声与振动控制设备：都应根据其使用环境的卫生条件。介质属性等要素。制定相应的运行和维护规程，确保其性能和使用寿命。</w:t>
            </w:r>
          </w:p>
          <w:p w14:paraId="3C3DD1B7">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D</w:t>
            </w:r>
            <w:r>
              <w:rPr>
                <w:rFonts w:hint="eastAsia" w:ascii="Times New Roman" w:hAnsi="Times New Roman" w:eastAsia="宋体" w:cs="Times New Roman"/>
                <w:color w:val="auto"/>
                <w:lang w:val="en-US" w:eastAsia="zh-CN"/>
              </w:rPr>
              <w:t xml:space="preserve"> </w:t>
            </w:r>
            <w:r>
              <w:rPr>
                <w:rFonts w:hint="default" w:ascii="Times New Roman" w:hAnsi="Times New Roman" w:eastAsia="宋体" w:cs="Times New Roman"/>
                <w:color w:val="auto"/>
                <w:lang w:val="en-US" w:eastAsia="zh-CN"/>
              </w:rPr>
              <w:t>定期对噪声污染防治的设施进行检查维护，确保噪声污染防治设施可靠有效。</w:t>
            </w:r>
          </w:p>
          <w:p w14:paraId="6A7D1F16">
            <w:pPr>
              <w:pStyle w:val="44"/>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综上，本项目通过选用低噪声设备，生产设备噪声经基础减振、厂房墙壁隔声，同时加强设备保养及距离衰减后，本项目厂界噪声排放源强满足《工业企业厂界环境噪声排放标准》（GB12348-2008）中3类标准限值要求。</w:t>
            </w:r>
          </w:p>
          <w:p w14:paraId="0051ADCF">
            <w:pPr>
              <w:pStyle w:val="4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r>
              <w:rPr>
                <w:rFonts w:hint="default" w:ascii="Times New Roman" w:hAnsi="Times New Roman" w:eastAsia="宋体" w:cs="Times New Roman"/>
                <w:color w:val="auto"/>
                <w:lang w:val="en-US" w:eastAsia="zh-CN"/>
              </w:rPr>
              <w:t>噪声监测计划</w:t>
            </w:r>
          </w:p>
          <w:p w14:paraId="63648F8A">
            <w:pPr>
              <w:pStyle w:val="44"/>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依据《排污单位自行监测技术指南 总则》（HJ819-2017）制定监测计划，监测内容详见下表。</w:t>
            </w:r>
          </w:p>
          <w:p w14:paraId="1E533FE6">
            <w:pPr>
              <w:pStyle w:val="25"/>
              <w:bidi w:val="0"/>
              <w:rPr>
                <w:rFonts w:hint="default"/>
                <w:color w:val="auto"/>
                <w:lang w:val="zh-CN" w:eastAsia="zh-CN"/>
              </w:rPr>
            </w:pPr>
            <w:r>
              <w:rPr>
                <w:rFonts w:hint="default"/>
                <w:color w:val="auto"/>
                <w:lang w:val="zh-CN" w:eastAsia="zh-CN"/>
              </w:rPr>
              <w:t>表</w:t>
            </w:r>
            <w:r>
              <w:rPr>
                <w:rFonts w:hint="eastAsia"/>
                <w:color w:val="auto"/>
                <w:lang w:val="en-US" w:eastAsia="zh-CN"/>
              </w:rPr>
              <w:t>4-13</w:t>
            </w:r>
            <w:r>
              <w:rPr>
                <w:rFonts w:hint="default"/>
                <w:color w:val="auto"/>
                <w:lang w:val="zh-CN" w:eastAsia="zh-CN"/>
              </w:rPr>
              <w:t xml:space="preserve"> </w:t>
            </w:r>
            <w:r>
              <w:rPr>
                <w:rFonts w:hint="eastAsia"/>
                <w:color w:val="auto"/>
                <w:lang w:val="en-US" w:eastAsia="zh-CN"/>
              </w:rPr>
              <w:t xml:space="preserve">                </w:t>
            </w:r>
            <w:r>
              <w:rPr>
                <w:rFonts w:hint="default"/>
                <w:color w:val="auto"/>
                <w:lang w:val="zh-CN" w:eastAsia="zh-CN"/>
              </w:rPr>
              <w:t xml:space="preserve"> 噪声监测计划一览表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954"/>
              <w:gridCol w:w="1867"/>
              <w:gridCol w:w="1156"/>
              <w:gridCol w:w="2639"/>
            </w:tblGrid>
            <w:tr w14:paraId="2954E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tcMar>
                    <w:left w:w="28" w:type="dxa"/>
                    <w:right w:w="28" w:type="dxa"/>
                  </w:tcMar>
                  <w:vAlign w:val="center"/>
                </w:tcPr>
                <w:p w14:paraId="1ED0FD3A">
                  <w:pPr>
                    <w:pStyle w:val="24"/>
                    <w:bidi w:val="0"/>
                    <w:jc w:val="center"/>
                    <w:rPr>
                      <w:rFonts w:hint="default"/>
                      <w:b/>
                      <w:bCs/>
                      <w:color w:val="auto"/>
                    </w:rPr>
                  </w:pPr>
                  <w:r>
                    <w:rPr>
                      <w:rFonts w:hint="default"/>
                      <w:b/>
                      <w:bCs/>
                      <w:color w:val="auto"/>
                    </w:rPr>
                    <w:t>环境要素</w:t>
                  </w:r>
                </w:p>
              </w:tc>
              <w:tc>
                <w:tcPr>
                  <w:tcW w:w="1970" w:type="dxa"/>
                  <w:noWrap w:val="0"/>
                  <w:tcMar>
                    <w:left w:w="28" w:type="dxa"/>
                    <w:right w:w="28" w:type="dxa"/>
                  </w:tcMar>
                  <w:vAlign w:val="center"/>
                </w:tcPr>
                <w:p w14:paraId="57142C8B">
                  <w:pPr>
                    <w:pStyle w:val="24"/>
                    <w:bidi w:val="0"/>
                    <w:jc w:val="center"/>
                    <w:rPr>
                      <w:rFonts w:hint="default"/>
                      <w:b/>
                      <w:bCs/>
                      <w:color w:val="auto"/>
                    </w:rPr>
                  </w:pPr>
                  <w:r>
                    <w:rPr>
                      <w:rFonts w:hint="default"/>
                      <w:b/>
                      <w:bCs/>
                      <w:color w:val="auto"/>
                    </w:rPr>
                    <w:t>监测位置</w:t>
                  </w:r>
                </w:p>
              </w:tc>
              <w:tc>
                <w:tcPr>
                  <w:tcW w:w="1876" w:type="dxa"/>
                  <w:noWrap w:val="0"/>
                  <w:tcMar>
                    <w:left w:w="28" w:type="dxa"/>
                    <w:right w:w="28" w:type="dxa"/>
                  </w:tcMar>
                  <w:vAlign w:val="center"/>
                </w:tcPr>
                <w:p w14:paraId="2BFCD93B">
                  <w:pPr>
                    <w:pStyle w:val="24"/>
                    <w:bidi w:val="0"/>
                    <w:jc w:val="center"/>
                    <w:rPr>
                      <w:rFonts w:hint="default"/>
                      <w:b/>
                      <w:bCs/>
                      <w:color w:val="auto"/>
                    </w:rPr>
                  </w:pPr>
                  <w:r>
                    <w:rPr>
                      <w:rFonts w:hint="default"/>
                      <w:b/>
                      <w:bCs/>
                      <w:color w:val="auto"/>
                    </w:rPr>
                    <w:t>监测项目</w:t>
                  </w:r>
                </w:p>
              </w:tc>
              <w:tc>
                <w:tcPr>
                  <w:tcW w:w="1165" w:type="dxa"/>
                  <w:noWrap w:val="0"/>
                  <w:tcMar>
                    <w:left w:w="28" w:type="dxa"/>
                    <w:right w:w="28" w:type="dxa"/>
                  </w:tcMar>
                  <w:vAlign w:val="center"/>
                </w:tcPr>
                <w:p w14:paraId="29497BDA">
                  <w:pPr>
                    <w:pStyle w:val="24"/>
                    <w:bidi w:val="0"/>
                    <w:jc w:val="center"/>
                    <w:rPr>
                      <w:rFonts w:hint="default"/>
                      <w:b/>
                      <w:bCs/>
                      <w:color w:val="auto"/>
                    </w:rPr>
                  </w:pPr>
                  <w:r>
                    <w:rPr>
                      <w:rFonts w:hint="default"/>
                      <w:b/>
                      <w:bCs/>
                      <w:color w:val="auto"/>
                    </w:rPr>
                    <w:t>频次</w:t>
                  </w:r>
                </w:p>
              </w:tc>
              <w:tc>
                <w:tcPr>
                  <w:tcW w:w="2659" w:type="dxa"/>
                  <w:noWrap w:val="0"/>
                  <w:vAlign w:val="center"/>
                </w:tcPr>
                <w:p w14:paraId="6B0100EB">
                  <w:pPr>
                    <w:pStyle w:val="24"/>
                    <w:bidi w:val="0"/>
                    <w:jc w:val="center"/>
                    <w:rPr>
                      <w:rFonts w:hint="default"/>
                      <w:b/>
                      <w:bCs/>
                      <w:color w:val="auto"/>
                    </w:rPr>
                  </w:pPr>
                  <w:r>
                    <w:rPr>
                      <w:rFonts w:hint="default"/>
                      <w:b/>
                      <w:bCs/>
                      <w:color w:val="auto"/>
                    </w:rPr>
                    <w:t>环境质量标准</w:t>
                  </w:r>
                </w:p>
              </w:tc>
            </w:tr>
            <w:tr w14:paraId="78AB6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7" w:type="dxa"/>
                  <w:noWrap w:val="0"/>
                  <w:tcMar>
                    <w:left w:w="28" w:type="dxa"/>
                    <w:right w:w="28" w:type="dxa"/>
                  </w:tcMar>
                  <w:vAlign w:val="center"/>
                </w:tcPr>
                <w:p w14:paraId="5D484AD0">
                  <w:pPr>
                    <w:pStyle w:val="24"/>
                    <w:bidi w:val="0"/>
                    <w:jc w:val="center"/>
                    <w:rPr>
                      <w:rFonts w:hint="default"/>
                      <w:color w:val="auto"/>
                    </w:rPr>
                  </w:pPr>
                  <w:r>
                    <w:rPr>
                      <w:rFonts w:hint="default"/>
                      <w:color w:val="auto"/>
                    </w:rPr>
                    <w:t>声环境</w:t>
                  </w:r>
                </w:p>
              </w:tc>
              <w:tc>
                <w:tcPr>
                  <w:tcW w:w="1970" w:type="dxa"/>
                  <w:noWrap w:val="0"/>
                  <w:tcMar>
                    <w:left w:w="28" w:type="dxa"/>
                    <w:right w:w="28" w:type="dxa"/>
                  </w:tcMar>
                  <w:vAlign w:val="center"/>
                </w:tcPr>
                <w:p w14:paraId="2E3F419D">
                  <w:pPr>
                    <w:pStyle w:val="24"/>
                    <w:bidi w:val="0"/>
                    <w:jc w:val="center"/>
                    <w:rPr>
                      <w:rFonts w:hint="default" w:eastAsia="宋体"/>
                      <w:color w:val="auto"/>
                      <w:lang w:val="en-US" w:eastAsia="zh-CN"/>
                    </w:rPr>
                  </w:pPr>
                  <w:r>
                    <w:rPr>
                      <w:rFonts w:hint="default"/>
                      <w:color w:val="auto"/>
                    </w:rPr>
                    <w:t>厂界</w:t>
                  </w:r>
                  <w:r>
                    <w:rPr>
                      <w:rFonts w:hint="eastAsia"/>
                      <w:color w:val="auto"/>
                      <w:lang w:val="en-US" w:eastAsia="zh-CN"/>
                    </w:rPr>
                    <w:t>四周1m处</w:t>
                  </w:r>
                </w:p>
              </w:tc>
              <w:tc>
                <w:tcPr>
                  <w:tcW w:w="1876" w:type="dxa"/>
                  <w:noWrap w:val="0"/>
                  <w:tcMar>
                    <w:left w:w="28" w:type="dxa"/>
                    <w:right w:w="28" w:type="dxa"/>
                  </w:tcMar>
                  <w:vAlign w:val="center"/>
                </w:tcPr>
                <w:p w14:paraId="2E22C6D0">
                  <w:pPr>
                    <w:pStyle w:val="24"/>
                    <w:bidi w:val="0"/>
                    <w:jc w:val="center"/>
                    <w:rPr>
                      <w:rFonts w:hint="default"/>
                      <w:color w:val="auto"/>
                    </w:rPr>
                  </w:pPr>
                  <w:r>
                    <w:rPr>
                      <w:rFonts w:hint="default"/>
                      <w:color w:val="auto"/>
                    </w:rPr>
                    <w:t>LeqdB(A)</w:t>
                  </w:r>
                </w:p>
              </w:tc>
              <w:tc>
                <w:tcPr>
                  <w:tcW w:w="1165" w:type="dxa"/>
                  <w:noWrap w:val="0"/>
                  <w:tcMar>
                    <w:left w:w="28" w:type="dxa"/>
                    <w:right w:w="28" w:type="dxa"/>
                  </w:tcMar>
                  <w:vAlign w:val="center"/>
                </w:tcPr>
                <w:p w14:paraId="540EF8CE">
                  <w:pPr>
                    <w:pStyle w:val="24"/>
                    <w:bidi w:val="0"/>
                    <w:jc w:val="center"/>
                    <w:rPr>
                      <w:rFonts w:hint="default"/>
                      <w:color w:val="auto"/>
                    </w:rPr>
                  </w:pPr>
                  <w:r>
                    <w:rPr>
                      <w:rFonts w:hint="default"/>
                      <w:color w:val="auto"/>
                    </w:rPr>
                    <w:t>1次/季度</w:t>
                  </w:r>
                </w:p>
              </w:tc>
              <w:tc>
                <w:tcPr>
                  <w:tcW w:w="2659" w:type="dxa"/>
                  <w:noWrap w:val="0"/>
                  <w:vAlign w:val="center"/>
                </w:tcPr>
                <w:p w14:paraId="405F62AA">
                  <w:pPr>
                    <w:pStyle w:val="24"/>
                    <w:bidi w:val="0"/>
                    <w:jc w:val="center"/>
                    <w:rPr>
                      <w:rFonts w:hint="default"/>
                      <w:color w:val="auto"/>
                    </w:rPr>
                  </w:pPr>
                  <w:r>
                    <w:rPr>
                      <w:rFonts w:hint="default"/>
                      <w:color w:val="auto"/>
                    </w:rPr>
                    <w:t>《工业企业厂界环境噪声排放标准》</w:t>
                  </w:r>
                  <w:r>
                    <w:rPr>
                      <w:rFonts w:hint="eastAsia"/>
                      <w:color w:val="auto"/>
                      <w:lang w:val="en-US" w:eastAsia="zh-CN"/>
                    </w:rPr>
                    <w:t>3</w:t>
                  </w:r>
                  <w:r>
                    <w:rPr>
                      <w:rFonts w:hint="default"/>
                      <w:color w:val="auto"/>
                      <w:lang w:val="en-US" w:eastAsia="zh-CN"/>
                    </w:rPr>
                    <w:t>类</w:t>
                  </w:r>
                  <w:r>
                    <w:rPr>
                      <w:rFonts w:hint="default"/>
                      <w:color w:val="auto"/>
                    </w:rPr>
                    <w:t>标准</w:t>
                  </w:r>
                </w:p>
              </w:tc>
            </w:tr>
          </w:tbl>
          <w:p w14:paraId="112BA2A1">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固体废物</w:t>
            </w:r>
          </w:p>
          <w:p w14:paraId="40A64632">
            <w:pPr>
              <w:pStyle w:val="51"/>
              <w:bidi w:val="0"/>
              <w:rPr>
                <w:rFonts w:hint="default"/>
                <w:lang w:val="en-US" w:eastAsia="zh-CN"/>
              </w:rPr>
            </w:pPr>
            <w:r>
              <w:rPr>
                <w:rFonts w:hint="eastAsia"/>
                <w:lang w:eastAsia="zh-CN"/>
              </w:rPr>
              <w:t>（</w:t>
            </w:r>
            <w:r>
              <w:rPr>
                <w:rFonts w:hint="eastAsia"/>
                <w:lang w:val="en-US" w:eastAsia="zh-CN"/>
              </w:rPr>
              <w:t>1</w:t>
            </w:r>
            <w:r>
              <w:rPr>
                <w:rFonts w:hint="eastAsia"/>
                <w:lang w:eastAsia="zh-CN"/>
              </w:rPr>
              <w:t>）</w:t>
            </w:r>
            <w:r>
              <w:t>固体废物产生情况</w:t>
            </w:r>
          </w:p>
          <w:p w14:paraId="3334E5D5">
            <w:pPr>
              <w:pStyle w:val="44"/>
              <w:bidi w:val="0"/>
              <w:rPr>
                <w:rFonts w:hint="default" w:ascii="Times New Roman" w:hAnsi="Times New Roman" w:cs="Times New Roman"/>
                <w:color w:val="auto"/>
              </w:rPr>
            </w:pPr>
            <w:r>
              <w:rPr>
                <w:rFonts w:hint="default" w:ascii="Times New Roman" w:hAnsi="Times New Roman" w:cs="Times New Roman"/>
                <w:color w:val="auto"/>
              </w:rPr>
              <w:t>生活垃圾：本项目员工</w:t>
            </w:r>
            <w:r>
              <w:rPr>
                <w:rFonts w:hint="eastAsia" w:cs="Times New Roman"/>
                <w:color w:val="auto"/>
                <w:lang w:val="en-US" w:eastAsia="zh-CN"/>
              </w:rPr>
              <w:t>10</w:t>
            </w:r>
            <w:r>
              <w:rPr>
                <w:rFonts w:hint="default" w:ascii="Times New Roman" w:hAnsi="Times New Roman" w:cs="Times New Roman"/>
                <w:color w:val="auto"/>
              </w:rPr>
              <w:t>人，生活垃圾按0.5kg/P·d计算，产生量为</w:t>
            </w:r>
            <w:r>
              <w:rPr>
                <w:rFonts w:hint="default" w:ascii="Times New Roman" w:hAnsi="Times New Roman" w:cs="Times New Roman"/>
                <w:color w:val="auto"/>
                <w:lang w:val="en-US" w:eastAsia="zh-CN"/>
              </w:rPr>
              <w:t>0.</w:t>
            </w:r>
            <w:r>
              <w:rPr>
                <w:rFonts w:hint="eastAsia" w:cs="Times New Roman"/>
                <w:color w:val="auto"/>
                <w:lang w:val="en-US" w:eastAsia="zh-CN"/>
              </w:rPr>
              <w:t>15</w:t>
            </w:r>
            <w:r>
              <w:rPr>
                <w:rFonts w:hint="default" w:ascii="Times New Roman" w:hAnsi="Times New Roman" w:cs="Times New Roman"/>
                <w:color w:val="auto"/>
              </w:rPr>
              <w:t>t/a</w:t>
            </w:r>
            <w:r>
              <w:rPr>
                <w:rFonts w:hint="default" w:ascii="Times New Roman" w:hAnsi="Times New Roman" w:cs="Times New Roman"/>
                <w:color w:val="auto"/>
                <w:lang w:eastAsia="zh-CN"/>
              </w:rPr>
              <w:t>，</w:t>
            </w:r>
            <w:r>
              <w:rPr>
                <w:rFonts w:hint="eastAsia" w:cs="Times New Roman"/>
                <w:color w:val="auto"/>
                <w:lang w:eastAsia="zh-CN"/>
              </w:rPr>
              <w:t>清运至园区垃圾中转站</w:t>
            </w:r>
            <w:r>
              <w:rPr>
                <w:rFonts w:hint="default" w:ascii="Times New Roman" w:hAnsi="Times New Roman" w:cs="Times New Roman"/>
                <w:color w:val="auto"/>
                <w:lang w:eastAsia="zh-CN"/>
              </w:rPr>
              <w:t>由环卫部门统一处理</w:t>
            </w:r>
            <w:r>
              <w:rPr>
                <w:rFonts w:hint="default" w:ascii="Times New Roman" w:hAnsi="Times New Roman" w:cs="Times New Roman"/>
                <w:color w:val="auto"/>
              </w:rPr>
              <w:t>。</w:t>
            </w:r>
          </w:p>
          <w:p w14:paraId="05205C80">
            <w:pPr>
              <w:pStyle w:val="44"/>
              <w:bidi w:val="0"/>
              <w:rPr>
                <w:rFonts w:hint="eastAsia" w:cs="Times New Roman"/>
                <w:color w:val="auto"/>
                <w:lang w:val="en-US" w:eastAsia="zh-CN"/>
              </w:rPr>
            </w:pPr>
            <w:r>
              <w:rPr>
                <w:rFonts w:hint="eastAsia" w:cs="Times New Roman"/>
                <w:color w:val="auto"/>
                <w:lang w:val="en-US" w:eastAsia="zh-CN"/>
              </w:rPr>
              <w:t>废机油：设备维修时产生的废弃机油，约为0.005t/a，暂存于危废暂存间，定期由有资质的单位统一回收处理。</w:t>
            </w:r>
          </w:p>
          <w:p w14:paraId="695A5564">
            <w:pPr>
              <w:pStyle w:val="44"/>
              <w:bidi w:val="0"/>
              <w:rPr>
                <w:rFonts w:hint="default" w:ascii="Times New Roman" w:hAnsi="Times New Roman" w:eastAsia="宋体" w:cs="Times New Roman"/>
                <w:color w:val="auto"/>
                <w:lang w:val="en-US" w:eastAsia="zh-CN"/>
              </w:rPr>
            </w:pPr>
            <w:r>
              <w:rPr>
                <w:rFonts w:hint="eastAsia" w:cs="Times New Roman"/>
                <w:color w:val="auto"/>
                <w:lang w:val="en-US" w:eastAsia="zh-CN"/>
              </w:rPr>
              <w:t>废钢瓶：按照0.1%的报废率计算，本项目废钢瓶产生量为10瓶/a，清残后送</w:t>
            </w:r>
            <w:r>
              <w:rPr>
                <w:rFonts w:hint="eastAsia" w:ascii="Times New Roman" w:hAnsi="Times New Roman" w:cs="Times New Roman"/>
                <w:color w:val="auto"/>
                <w:lang w:val="en-US" w:eastAsia="zh-CN"/>
              </w:rPr>
              <w:t>市级或市级以上质监部门指定的气瓶检验机构报废销毁</w:t>
            </w:r>
            <w:r>
              <w:rPr>
                <w:rFonts w:hint="eastAsia" w:cs="Times New Roman"/>
                <w:color w:val="auto"/>
                <w:lang w:val="en-US" w:eastAsia="zh-CN"/>
              </w:rPr>
              <w:t>。</w:t>
            </w:r>
          </w:p>
          <w:p w14:paraId="7AEC5C56">
            <w:pPr>
              <w:pStyle w:val="25"/>
              <w:bidi w:val="0"/>
              <w:rPr>
                <w:rFonts w:hint="default"/>
                <w:color w:val="auto"/>
                <w:lang w:val="zh-CN" w:eastAsia="zh-CN"/>
              </w:rPr>
            </w:pPr>
          </w:p>
          <w:p w14:paraId="76E4AE88">
            <w:pPr>
              <w:pStyle w:val="25"/>
              <w:bidi w:val="0"/>
              <w:rPr>
                <w:rFonts w:hint="default"/>
                <w:color w:val="auto"/>
                <w:lang w:val="zh-CN" w:eastAsia="zh-CN"/>
              </w:rPr>
            </w:pPr>
          </w:p>
          <w:p w14:paraId="473E5D3C">
            <w:pPr>
              <w:pStyle w:val="25"/>
              <w:bidi w:val="0"/>
              <w:rPr>
                <w:rFonts w:hint="default"/>
                <w:color w:val="auto"/>
                <w:lang w:val="zh-CN" w:eastAsia="zh-CN"/>
              </w:rPr>
            </w:pPr>
            <w:r>
              <w:rPr>
                <w:rFonts w:hint="default"/>
                <w:color w:val="auto"/>
                <w:lang w:val="zh-CN" w:eastAsia="zh-CN"/>
              </w:rPr>
              <w:t>表</w:t>
            </w:r>
            <w:r>
              <w:rPr>
                <w:rFonts w:hint="eastAsia"/>
                <w:color w:val="auto"/>
                <w:lang w:val="en-US" w:eastAsia="zh-CN"/>
              </w:rPr>
              <w:t>4-14</w:t>
            </w:r>
            <w:r>
              <w:rPr>
                <w:rFonts w:hint="default"/>
                <w:color w:val="auto"/>
                <w:lang w:val="en-US" w:eastAsia="zh-CN"/>
              </w:rPr>
              <w:t xml:space="preserve"> </w:t>
            </w:r>
            <w:r>
              <w:rPr>
                <w:rFonts w:hint="default"/>
                <w:color w:val="auto"/>
                <w:lang w:val="zh-CN" w:eastAsia="zh-CN"/>
              </w:rPr>
              <w:t xml:space="preserve"> </w:t>
            </w:r>
            <w:r>
              <w:rPr>
                <w:rFonts w:hint="eastAsia"/>
                <w:color w:val="auto"/>
                <w:lang w:val="en-US" w:eastAsia="zh-CN"/>
              </w:rPr>
              <w:t xml:space="preserve">         </w:t>
            </w:r>
            <w:r>
              <w:rPr>
                <w:rFonts w:hint="default"/>
                <w:color w:val="auto"/>
                <w:lang w:val="zh-CN" w:eastAsia="zh-CN"/>
              </w:rPr>
              <w:t>本项目固废产生及处理情况一览表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595"/>
              <w:gridCol w:w="1384"/>
              <w:gridCol w:w="1424"/>
              <w:gridCol w:w="3518"/>
            </w:tblGrid>
            <w:tr w14:paraId="07AD3C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noWrap w:val="0"/>
                  <w:vAlign w:val="center"/>
                </w:tcPr>
                <w:p w14:paraId="130C0BE2">
                  <w:pPr>
                    <w:pStyle w:val="24"/>
                    <w:bidi w:val="0"/>
                    <w:jc w:val="center"/>
                    <w:rPr>
                      <w:rFonts w:hint="default"/>
                      <w:b/>
                      <w:bCs/>
                      <w:color w:val="auto"/>
                    </w:rPr>
                  </w:pPr>
                  <w:r>
                    <w:rPr>
                      <w:rFonts w:hint="default"/>
                      <w:b/>
                      <w:bCs/>
                      <w:color w:val="auto"/>
                    </w:rPr>
                    <w:t>序号</w:t>
                  </w:r>
                </w:p>
              </w:tc>
              <w:tc>
                <w:tcPr>
                  <w:tcW w:w="1605" w:type="dxa"/>
                  <w:noWrap w:val="0"/>
                  <w:vAlign w:val="center"/>
                </w:tcPr>
                <w:p w14:paraId="6FDAB107">
                  <w:pPr>
                    <w:pStyle w:val="24"/>
                    <w:bidi w:val="0"/>
                    <w:jc w:val="center"/>
                    <w:rPr>
                      <w:rFonts w:hint="default"/>
                      <w:b/>
                      <w:bCs/>
                      <w:color w:val="auto"/>
                    </w:rPr>
                  </w:pPr>
                  <w:r>
                    <w:rPr>
                      <w:rFonts w:hint="default"/>
                      <w:b/>
                      <w:bCs/>
                      <w:color w:val="auto"/>
                    </w:rPr>
                    <w:t>固废名称</w:t>
                  </w:r>
                </w:p>
              </w:tc>
              <w:tc>
                <w:tcPr>
                  <w:tcW w:w="1388" w:type="dxa"/>
                  <w:noWrap w:val="0"/>
                  <w:vAlign w:val="center"/>
                </w:tcPr>
                <w:p w14:paraId="7CA8549E">
                  <w:pPr>
                    <w:pStyle w:val="24"/>
                    <w:bidi w:val="0"/>
                    <w:jc w:val="center"/>
                    <w:rPr>
                      <w:rFonts w:hint="default"/>
                      <w:b/>
                      <w:bCs/>
                      <w:color w:val="auto"/>
                    </w:rPr>
                  </w:pPr>
                  <w:r>
                    <w:rPr>
                      <w:rFonts w:hint="default"/>
                      <w:b/>
                      <w:bCs/>
                      <w:color w:val="auto"/>
                    </w:rPr>
                    <w:t>产生量（t/a）</w:t>
                  </w:r>
                </w:p>
              </w:tc>
              <w:tc>
                <w:tcPr>
                  <w:tcW w:w="1429" w:type="dxa"/>
                  <w:noWrap w:val="0"/>
                  <w:vAlign w:val="center"/>
                </w:tcPr>
                <w:p w14:paraId="54AC39B8">
                  <w:pPr>
                    <w:pStyle w:val="24"/>
                    <w:bidi w:val="0"/>
                    <w:jc w:val="center"/>
                    <w:rPr>
                      <w:rFonts w:hint="default"/>
                      <w:b/>
                      <w:bCs/>
                      <w:color w:val="auto"/>
                    </w:rPr>
                  </w:pPr>
                  <w:r>
                    <w:rPr>
                      <w:rFonts w:hint="default"/>
                      <w:b/>
                      <w:bCs/>
                      <w:color w:val="auto"/>
                    </w:rPr>
                    <w:t>排放量（t/a）</w:t>
                  </w:r>
                </w:p>
              </w:tc>
              <w:tc>
                <w:tcPr>
                  <w:tcW w:w="3544" w:type="dxa"/>
                  <w:noWrap w:val="0"/>
                  <w:vAlign w:val="center"/>
                </w:tcPr>
                <w:p w14:paraId="25922458">
                  <w:pPr>
                    <w:pStyle w:val="24"/>
                    <w:bidi w:val="0"/>
                    <w:jc w:val="center"/>
                    <w:rPr>
                      <w:rFonts w:hint="default"/>
                      <w:b/>
                      <w:bCs/>
                      <w:color w:val="auto"/>
                    </w:rPr>
                  </w:pPr>
                  <w:r>
                    <w:rPr>
                      <w:rFonts w:hint="default"/>
                      <w:b/>
                      <w:bCs/>
                      <w:color w:val="auto"/>
                    </w:rPr>
                    <w:t>处理措施</w:t>
                  </w:r>
                </w:p>
              </w:tc>
            </w:tr>
            <w:tr w14:paraId="152E1E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noWrap w:val="0"/>
                  <w:vAlign w:val="center"/>
                </w:tcPr>
                <w:p w14:paraId="3472F316">
                  <w:pPr>
                    <w:pStyle w:val="24"/>
                    <w:bidi w:val="0"/>
                    <w:jc w:val="center"/>
                    <w:rPr>
                      <w:rFonts w:hint="default"/>
                      <w:color w:val="auto"/>
                      <w:lang w:eastAsia="zh-CN"/>
                    </w:rPr>
                  </w:pPr>
                  <w:r>
                    <w:rPr>
                      <w:rFonts w:hint="eastAsia"/>
                      <w:color w:val="auto"/>
                      <w:lang w:val="en-US" w:eastAsia="zh-CN"/>
                    </w:rPr>
                    <w:t>1</w:t>
                  </w:r>
                </w:p>
              </w:tc>
              <w:tc>
                <w:tcPr>
                  <w:tcW w:w="1605" w:type="dxa"/>
                  <w:noWrap w:val="0"/>
                  <w:vAlign w:val="center"/>
                </w:tcPr>
                <w:p w14:paraId="63E920E2">
                  <w:pPr>
                    <w:pStyle w:val="24"/>
                    <w:bidi w:val="0"/>
                    <w:jc w:val="center"/>
                    <w:rPr>
                      <w:rFonts w:hint="default"/>
                      <w:color w:val="auto"/>
                    </w:rPr>
                  </w:pPr>
                  <w:r>
                    <w:rPr>
                      <w:rFonts w:hint="default"/>
                      <w:color w:val="auto"/>
                    </w:rPr>
                    <w:t>生活垃圾</w:t>
                  </w:r>
                </w:p>
              </w:tc>
              <w:tc>
                <w:tcPr>
                  <w:tcW w:w="1388" w:type="dxa"/>
                  <w:noWrap w:val="0"/>
                  <w:vAlign w:val="center"/>
                </w:tcPr>
                <w:p w14:paraId="55738A9A">
                  <w:pPr>
                    <w:pStyle w:val="24"/>
                    <w:bidi w:val="0"/>
                    <w:jc w:val="center"/>
                    <w:rPr>
                      <w:rFonts w:hint="default"/>
                      <w:color w:val="auto"/>
                      <w:lang w:val="en-US" w:eastAsia="zh-CN"/>
                    </w:rPr>
                  </w:pPr>
                  <w:r>
                    <w:rPr>
                      <w:rFonts w:hint="eastAsia"/>
                      <w:color w:val="auto"/>
                      <w:lang w:val="en-US" w:eastAsia="zh-CN"/>
                    </w:rPr>
                    <w:t>0.75</w:t>
                  </w:r>
                </w:p>
              </w:tc>
              <w:tc>
                <w:tcPr>
                  <w:tcW w:w="1429" w:type="dxa"/>
                  <w:noWrap w:val="0"/>
                  <w:vAlign w:val="center"/>
                </w:tcPr>
                <w:p w14:paraId="72AA43A7">
                  <w:pPr>
                    <w:pStyle w:val="24"/>
                    <w:bidi w:val="0"/>
                    <w:jc w:val="center"/>
                    <w:rPr>
                      <w:rFonts w:hint="default"/>
                      <w:color w:val="auto"/>
                      <w:lang w:val="en-US" w:eastAsia="zh-CN"/>
                    </w:rPr>
                  </w:pPr>
                  <w:r>
                    <w:rPr>
                      <w:rFonts w:hint="eastAsia"/>
                      <w:color w:val="auto"/>
                      <w:lang w:val="en-US" w:eastAsia="zh-CN"/>
                    </w:rPr>
                    <w:t>0.75</w:t>
                  </w:r>
                </w:p>
              </w:tc>
              <w:tc>
                <w:tcPr>
                  <w:tcW w:w="3544" w:type="dxa"/>
                  <w:noWrap w:val="0"/>
                  <w:vAlign w:val="center"/>
                </w:tcPr>
                <w:p w14:paraId="66EDB945">
                  <w:pPr>
                    <w:pStyle w:val="24"/>
                    <w:bidi w:val="0"/>
                    <w:jc w:val="center"/>
                    <w:rPr>
                      <w:rFonts w:hint="default"/>
                      <w:color w:val="auto"/>
                    </w:rPr>
                  </w:pPr>
                  <w:r>
                    <w:rPr>
                      <w:rFonts w:hint="default"/>
                      <w:color w:val="auto"/>
                    </w:rPr>
                    <w:t>由环卫部门统一处理</w:t>
                  </w:r>
                </w:p>
              </w:tc>
            </w:tr>
            <w:tr w14:paraId="09FCE8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noWrap w:val="0"/>
                  <w:vAlign w:val="center"/>
                </w:tcPr>
                <w:p w14:paraId="4F5B289E">
                  <w:pPr>
                    <w:pStyle w:val="24"/>
                    <w:bidi w:val="0"/>
                    <w:jc w:val="center"/>
                    <w:rPr>
                      <w:rFonts w:hint="default"/>
                      <w:color w:val="auto"/>
                      <w:lang w:val="en-US" w:eastAsia="zh-CN"/>
                    </w:rPr>
                  </w:pPr>
                  <w:r>
                    <w:rPr>
                      <w:rFonts w:hint="eastAsia"/>
                      <w:color w:val="auto"/>
                      <w:lang w:val="en-US" w:eastAsia="zh-CN"/>
                    </w:rPr>
                    <w:t>2</w:t>
                  </w:r>
                </w:p>
              </w:tc>
              <w:tc>
                <w:tcPr>
                  <w:tcW w:w="1605" w:type="dxa"/>
                  <w:noWrap w:val="0"/>
                  <w:vAlign w:val="center"/>
                </w:tcPr>
                <w:p w14:paraId="5BC45F4E">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废机油</w:t>
                  </w:r>
                </w:p>
              </w:tc>
              <w:tc>
                <w:tcPr>
                  <w:tcW w:w="1388" w:type="dxa"/>
                  <w:noWrap w:val="0"/>
                  <w:vAlign w:val="center"/>
                </w:tcPr>
                <w:p w14:paraId="6E0EBD2C">
                  <w:pPr>
                    <w:pStyle w:val="24"/>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0.005</w:t>
                  </w:r>
                </w:p>
              </w:tc>
              <w:tc>
                <w:tcPr>
                  <w:tcW w:w="1429" w:type="dxa"/>
                  <w:noWrap w:val="0"/>
                  <w:vAlign w:val="center"/>
                </w:tcPr>
                <w:p w14:paraId="302DA735">
                  <w:pPr>
                    <w:pStyle w:val="24"/>
                    <w:bidi w:val="0"/>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0.005</w:t>
                  </w:r>
                </w:p>
              </w:tc>
              <w:tc>
                <w:tcPr>
                  <w:tcW w:w="3544" w:type="dxa"/>
                  <w:noWrap w:val="0"/>
                  <w:vAlign w:val="center"/>
                </w:tcPr>
                <w:p w14:paraId="2FC0C6D1">
                  <w:pPr>
                    <w:pStyle w:val="24"/>
                    <w:bidi w:val="0"/>
                    <w:ind w:firstLine="0" w:firstLineChars="0"/>
                    <w:jc w:val="center"/>
                    <w:rPr>
                      <w:rFonts w:hint="default" w:ascii="Times New Roman" w:hAnsi="Times New Roman" w:eastAsia="宋体" w:cs="Times New Roman"/>
                      <w:color w:val="auto"/>
                      <w:kern w:val="0"/>
                      <w:sz w:val="21"/>
                      <w:szCs w:val="21"/>
                      <w:lang w:val="en-US" w:eastAsia="zh-CN" w:bidi="ar-SA"/>
                    </w:rPr>
                  </w:pPr>
                  <w:r>
                    <w:rPr>
                      <w:rFonts w:hint="eastAsia"/>
                      <w:color w:val="auto"/>
                      <w:lang w:val="en-US" w:eastAsia="zh-CN"/>
                    </w:rPr>
                    <w:t>由有资质的单位回收处理</w:t>
                  </w:r>
                </w:p>
              </w:tc>
            </w:tr>
            <w:tr w14:paraId="5C163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06" w:type="dxa"/>
                  <w:noWrap w:val="0"/>
                  <w:vAlign w:val="center"/>
                </w:tcPr>
                <w:p w14:paraId="55DA6DB2">
                  <w:pPr>
                    <w:pStyle w:val="24"/>
                    <w:bidi w:val="0"/>
                    <w:jc w:val="center"/>
                    <w:rPr>
                      <w:rFonts w:hint="default"/>
                      <w:color w:val="auto"/>
                      <w:lang w:val="en-US" w:eastAsia="zh-CN"/>
                    </w:rPr>
                  </w:pPr>
                  <w:r>
                    <w:rPr>
                      <w:rFonts w:hint="eastAsia"/>
                      <w:color w:val="auto"/>
                      <w:lang w:val="en-US" w:eastAsia="zh-CN"/>
                    </w:rPr>
                    <w:t>3</w:t>
                  </w:r>
                </w:p>
              </w:tc>
              <w:tc>
                <w:tcPr>
                  <w:tcW w:w="1605" w:type="dxa"/>
                  <w:noWrap w:val="0"/>
                  <w:vAlign w:val="center"/>
                </w:tcPr>
                <w:p w14:paraId="7E19B3AD">
                  <w:pPr>
                    <w:pStyle w:val="24"/>
                    <w:bidi w:val="0"/>
                    <w:ind w:firstLine="0" w:firstLineChars="0"/>
                    <w:jc w:val="center"/>
                    <w:rPr>
                      <w:rFonts w:hint="default"/>
                      <w:color w:val="auto"/>
                      <w:lang w:val="en-US" w:eastAsia="zh-CN"/>
                    </w:rPr>
                  </w:pPr>
                  <w:r>
                    <w:rPr>
                      <w:rFonts w:hint="eastAsia"/>
                      <w:color w:val="auto"/>
                      <w:lang w:val="en-US" w:eastAsia="zh-CN"/>
                    </w:rPr>
                    <w:t>废钢瓶</w:t>
                  </w:r>
                </w:p>
              </w:tc>
              <w:tc>
                <w:tcPr>
                  <w:tcW w:w="1388" w:type="dxa"/>
                  <w:noWrap w:val="0"/>
                  <w:vAlign w:val="center"/>
                </w:tcPr>
                <w:p w14:paraId="77F61255">
                  <w:pPr>
                    <w:pStyle w:val="24"/>
                    <w:bidi w:val="0"/>
                    <w:ind w:firstLine="0" w:firstLineChars="0"/>
                    <w:jc w:val="center"/>
                    <w:rPr>
                      <w:rFonts w:hint="eastAsia"/>
                      <w:color w:val="auto"/>
                      <w:lang w:val="en-US" w:eastAsia="zh-CN"/>
                    </w:rPr>
                  </w:pPr>
                  <w:r>
                    <w:rPr>
                      <w:rFonts w:hint="eastAsia" w:cs="Times New Roman"/>
                      <w:color w:val="auto"/>
                      <w:lang w:val="en-US" w:eastAsia="zh-CN"/>
                    </w:rPr>
                    <w:t>10瓶/a</w:t>
                  </w:r>
                </w:p>
              </w:tc>
              <w:tc>
                <w:tcPr>
                  <w:tcW w:w="1429" w:type="dxa"/>
                  <w:noWrap w:val="0"/>
                  <w:vAlign w:val="center"/>
                </w:tcPr>
                <w:p w14:paraId="6A5F57DB">
                  <w:pPr>
                    <w:pStyle w:val="24"/>
                    <w:bidi w:val="0"/>
                    <w:ind w:firstLine="0" w:firstLineChars="0"/>
                    <w:jc w:val="center"/>
                    <w:rPr>
                      <w:rFonts w:hint="eastAsia"/>
                      <w:color w:val="auto"/>
                      <w:lang w:val="en-US" w:eastAsia="zh-CN"/>
                    </w:rPr>
                  </w:pPr>
                  <w:r>
                    <w:rPr>
                      <w:rFonts w:hint="eastAsia" w:cs="Times New Roman"/>
                      <w:color w:val="auto"/>
                      <w:lang w:val="en-US" w:eastAsia="zh-CN"/>
                    </w:rPr>
                    <w:t>10瓶/a</w:t>
                  </w:r>
                </w:p>
              </w:tc>
              <w:tc>
                <w:tcPr>
                  <w:tcW w:w="3544" w:type="dxa"/>
                  <w:noWrap w:val="0"/>
                  <w:vAlign w:val="center"/>
                </w:tcPr>
                <w:p w14:paraId="01C3FE19">
                  <w:pPr>
                    <w:pStyle w:val="24"/>
                    <w:bidi w:val="0"/>
                    <w:ind w:firstLine="0" w:firstLineChars="0"/>
                    <w:jc w:val="center"/>
                    <w:rPr>
                      <w:rFonts w:hint="default"/>
                      <w:color w:val="auto"/>
                      <w:lang w:val="en-US" w:eastAsia="zh-CN"/>
                    </w:rPr>
                  </w:pPr>
                  <w:r>
                    <w:rPr>
                      <w:rFonts w:hint="eastAsia" w:ascii="Times New Roman" w:hAnsi="Times New Roman" w:cs="Times New Roman"/>
                      <w:color w:val="auto"/>
                      <w:lang w:val="en-US" w:eastAsia="zh-CN"/>
                    </w:rPr>
                    <w:t>市级或市级以上质监部门指定的气瓶检验机构报废销毁</w:t>
                  </w:r>
                </w:p>
              </w:tc>
            </w:tr>
          </w:tbl>
          <w:p w14:paraId="34979EFC">
            <w:pPr>
              <w:pStyle w:val="51"/>
              <w:bidi w:val="0"/>
            </w:pPr>
            <w:r>
              <w:rPr>
                <w:rFonts w:hint="eastAsia"/>
                <w:lang w:eastAsia="zh-CN"/>
              </w:rPr>
              <w:t>（</w:t>
            </w:r>
            <w:r>
              <w:rPr>
                <w:rFonts w:hint="eastAsia"/>
                <w:lang w:val="en-US" w:eastAsia="zh-CN"/>
              </w:rPr>
              <w:t>2</w:t>
            </w:r>
            <w:r>
              <w:rPr>
                <w:rFonts w:hint="eastAsia"/>
                <w:lang w:eastAsia="zh-CN"/>
              </w:rPr>
              <w:t>）</w:t>
            </w:r>
            <w:r>
              <w:t>固体废物管理要求</w:t>
            </w:r>
          </w:p>
          <w:p w14:paraId="58CE2537">
            <w:pPr>
              <w:pStyle w:val="51"/>
              <w:bidi w:val="0"/>
            </w:pPr>
            <w:r>
              <w:rPr>
                <w:rFonts w:hint="eastAsia"/>
                <w:lang w:val="en-US" w:eastAsia="zh-CN"/>
              </w:rPr>
              <w:t>①</w:t>
            </w:r>
            <w:r>
              <w:t>一般工业固体废物管理要求</w:t>
            </w:r>
          </w:p>
          <w:p w14:paraId="74EB5B22">
            <w:pPr>
              <w:pStyle w:val="51"/>
              <w:bidi w:val="0"/>
            </w:pPr>
            <w:r>
              <w:rPr>
                <w:rFonts w:hint="eastAsia"/>
                <w:lang w:val="en-US" w:eastAsia="zh-CN"/>
              </w:rPr>
              <w:t xml:space="preserve">A </w:t>
            </w:r>
            <w:r>
              <w:t>采取防治工业固体废物污染环境的措施</w:t>
            </w:r>
            <w:r>
              <w:rPr>
                <w:rFonts w:hint="eastAsia"/>
              </w:rPr>
              <w:t>，</w:t>
            </w:r>
            <w:r>
              <w:t>对固体废物实行从产生、运输直至最终处理实行全过程管理，加强固体废物运输过程的事故风险防范，按照有关法律、法规的要求，对固体废弃物全过程管理应报当地生态环境行政主管部门等批准。</w:t>
            </w:r>
          </w:p>
          <w:p w14:paraId="4F5484EB">
            <w:pPr>
              <w:pStyle w:val="51"/>
              <w:bidi w:val="0"/>
            </w:pPr>
            <w:r>
              <w:rPr>
                <w:rFonts w:hint="eastAsia"/>
                <w:lang w:val="en-US" w:eastAsia="zh-CN"/>
              </w:rPr>
              <w:t xml:space="preserve">B </w:t>
            </w:r>
            <w:r>
              <w:t>生活垃圾及时清运，避免长期堆存产生二次污染。</w:t>
            </w:r>
          </w:p>
          <w:p w14:paraId="6D628BFC">
            <w:pPr>
              <w:pStyle w:val="51"/>
              <w:bidi w:val="0"/>
            </w:pPr>
            <w:r>
              <w:rPr>
                <w:rFonts w:hint="eastAsia"/>
                <w:lang w:val="en-US" w:eastAsia="zh-CN"/>
              </w:rPr>
              <w:t xml:space="preserve">C </w:t>
            </w:r>
            <w:r>
              <w:t>应当建立健全工业固体废物产生、收集、贮存、运输、利用、处置全过程的污染环境防治责任制度，建立工业固体废物管理台账，如实记录产生工业固体废物的种类、数量、流向、贮存、利用、处置等信息，实现工业固体废物可追溯、可查询。</w:t>
            </w:r>
          </w:p>
          <w:p w14:paraId="3BAFEDB8">
            <w:pPr>
              <w:pStyle w:val="51"/>
              <w:bidi w:val="0"/>
            </w:pPr>
            <w:r>
              <w:rPr>
                <w:rFonts w:hint="eastAsia"/>
                <w:lang w:val="en-US" w:eastAsia="zh-CN"/>
              </w:rPr>
              <w:t xml:space="preserve">D </w:t>
            </w:r>
            <w:r>
              <w:t>建设单位委托他人运输、利用、处置工业固体废物的，应当对受托方的主体资格和技术能力进行核实，依法签订书面合同，在合同中约定污染防治要求。</w:t>
            </w:r>
          </w:p>
          <w:p w14:paraId="2B560C8C">
            <w:pPr>
              <w:pStyle w:val="51"/>
              <w:bidi w:val="0"/>
            </w:pPr>
            <w:r>
              <w:t>通过采取以上措施后，本项目生产过程中产生的固体废物均得到合理处置和处理，不会对当地环境产生明显影响</w:t>
            </w:r>
            <w:r>
              <w:rPr>
                <w:rFonts w:hint="eastAsia"/>
              </w:rPr>
              <w:t>。</w:t>
            </w:r>
          </w:p>
          <w:p w14:paraId="16703783">
            <w:pPr>
              <w:pStyle w:val="51"/>
              <w:bidi w:val="0"/>
            </w:pPr>
            <w:r>
              <w:rPr>
                <w:rFonts w:hint="eastAsia"/>
                <w:lang w:val="en-US" w:eastAsia="zh-CN"/>
              </w:rPr>
              <w:t xml:space="preserve">② </w:t>
            </w:r>
            <w:r>
              <w:t>危险废物管理要求</w:t>
            </w:r>
          </w:p>
          <w:p w14:paraId="6E22E072">
            <w:pPr>
              <w:pStyle w:val="51"/>
              <w:bidi w:val="0"/>
            </w:pPr>
            <w:r>
              <w:t>本项目</w:t>
            </w:r>
            <w:r>
              <w:rPr>
                <w:rFonts w:hint="eastAsia"/>
              </w:rPr>
              <w:t>危废贮存点</w:t>
            </w:r>
            <w:r>
              <w:t>的建设应按照《危险废物贮存污染控制标准》（GB18597-2023）、《危险废物产生单位管理计划制定指南》（2016.01.26）中的相关要求执行。根据《关于坚决遏制固体废物非法转移和倾倒进一步加强危险废物全过程监管的通知》（环办土壤函〔20</w:t>
            </w:r>
            <w:r>
              <w:rPr>
                <w:rFonts w:hint="eastAsia"/>
              </w:rPr>
              <w:t>18</w:t>
            </w:r>
            <w:r>
              <w:t>〕266号），企业应加强固体废物管理的技术培训与交流，并在每年3月31日之前通过全国固体废物管理信息系统报送产废数据，即危险废物的类别、数量、利用和处置情况等，积极配合相关部门的危险废物电子转移联单工作。具体如下：</w:t>
            </w:r>
          </w:p>
          <w:p w14:paraId="61CF89B4">
            <w:pPr>
              <w:pStyle w:val="51"/>
              <w:bidi w:val="0"/>
              <w:rPr>
                <w:rFonts w:hint="eastAsia"/>
              </w:rPr>
            </w:pPr>
            <w:r>
              <w:rPr>
                <w:rFonts w:hint="eastAsia"/>
                <w:lang w:val="en-US" w:eastAsia="zh-CN"/>
              </w:rPr>
              <w:t>A</w:t>
            </w:r>
            <w:r>
              <w:rPr>
                <w:rFonts w:hint="eastAsia"/>
              </w:rPr>
              <w:t>贮存设施污染控制要求</w:t>
            </w:r>
            <w:r>
              <w:rPr>
                <w:rFonts w:hint="eastAsia"/>
                <w:lang w:eastAsia="zh-CN"/>
              </w:rPr>
              <w:t>：</w:t>
            </w:r>
            <w:r>
              <w:rPr>
                <w:rFonts w:hint="eastAsia"/>
              </w:rPr>
              <w:t>贮存库内不同贮存分区之间应采取隔离措施。隔离措施可根据危险废物特性采用过道、隔板或隔墙等方式。</w:t>
            </w:r>
          </w:p>
          <w:p w14:paraId="1EFCA592">
            <w:pPr>
              <w:pStyle w:val="51"/>
              <w:bidi w:val="0"/>
            </w:pPr>
            <w:r>
              <w:rPr>
                <w:rFonts w:hint="eastAsia"/>
                <w:lang w:val="en-US" w:eastAsia="zh-CN"/>
              </w:rPr>
              <w:t>B</w:t>
            </w:r>
            <w:r>
              <w:t>危险废物的运输转移</w:t>
            </w:r>
          </w:p>
          <w:p w14:paraId="50749CF8">
            <w:pPr>
              <w:pStyle w:val="51"/>
              <w:bidi w:val="0"/>
            </w:pPr>
            <w:r>
              <w:t>落实危险废物转移联单制度，转移危险废物的，应当按照《危险废物转移管理办法》的有关规定填写、运行危险废物转移联单</w:t>
            </w:r>
            <w:r>
              <w:rPr>
                <w:rFonts w:hint="eastAsia"/>
              </w:rPr>
              <w:t>，并依照国家有关规定公开危险废物转移相关污染环境防治信息</w:t>
            </w:r>
            <w:r>
              <w:t>。运输危险废物，应当采取防止污染环境的措施，并遵守国家有关危险货物运输管理的规定。本项目</w:t>
            </w:r>
            <w:r>
              <w:rPr>
                <w:rFonts w:hint="eastAsia"/>
              </w:rPr>
              <w:t>应</w:t>
            </w:r>
            <w:r>
              <w:t>与有资质的运输单位签订协议，在危险废物运输过程中，存在着</w:t>
            </w:r>
            <w:r>
              <w:rPr>
                <w:rFonts w:hint="eastAsia"/>
              </w:rPr>
              <w:t>泄漏</w:t>
            </w:r>
            <w:r>
              <w:t>的危险，主要潜在危险事故为机械碰撞和交通事故。</w:t>
            </w:r>
          </w:p>
          <w:p w14:paraId="4D0FBF1D">
            <w:pPr>
              <w:pStyle w:val="51"/>
              <w:bidi w:val="0"/>
              <w:rPr>
                <w:lang w:eastAsia="zh-CN"/>
              </w:rPr>
            </w:pPr>
            <w:r>
              <w:rPr>
                <w:rFonts w:hint="eastAsia"/>
                <w:lang w:val="en-US" w:eastAsia="zh-CN"/>
              </w:rPr>
              <w:t>C</w:t>
            </w:r>
            <w:r>
              <w:rPr>
                <w:rFonts w:hint="eastAsia"/>
                <w:lang w:eastAsia="zh-CN"/>
              </w:rPr>
              <w:t>危废贮存库标识</w:t>
            </w:r>
          </w:p>
          <w:p w14:paraId="27127D07">
            <w:pPr>
              <w:pStyle w:val="51"/>
              <w:bidi w:val="0"/>
            </w:pPr>
            <w:r>
              <w:t>根据《中华人民共和国固体废物污染环境防治法》《关于进一步规范危险废物识别标志设置有关事宜的通知》（宁环办函【2016】2号）、《危险废物识别标志设置技术规范》（HJ1276-2022）等有关危险废物识别标志的文件规定，本项目危险废物识别标志设置的具体要求见下表。</w:t>
            </w:r>
          </w:p>
          <w:p w14:paraId="1BC041EC">
            <w:pPr>
              <w:pStyle w:val="25"/>
              <w:bidi w:val="0"/>
            </w:pPr>
            <w:r>
              <w:t>表</w:t>
            </w:r>
            <w:r>
              <w:rPr>
                <w:rFonts w:hint="eastAsia"/>
              </w:rPr>
              <w:t>4-</w:t>
            </w:r>
            <w:r>
              <w:rPr>
                <w:rFonts w:hint="eastAsia"/>
                <w:lang w:val="en-US" w:eastAsia="zh-CN"/>
              </w:rPr>
              <w:t>15</w:t>
            </w:r>
            <w:r>
              <w:rPr>
                <w:rFonts w:hint="eastAsia"/>
              </w:rPr>
              <w:t xml:space="preserve"> </w:t>
            </w:r>
            <w:r>
              <w:t xml:space="preserve">        </w:t>
            </w:r>
            <w:r>
              <w:rPr>
                <w:rFonts w:hint="eastAsia"/>
              </w:rPr>
              <w:t xml:space="preserve"> </w:t>
            </w:r>
            <w:r>
              <w:t xml:space="preserve">  项目危险废物识别标志要求一览表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97"/>
              <w:gridCol w:w="2336"/>
              <w:gridCol w:w="2071"/>
              <w:gridCol w:w="3218"/>
            </w:tblGrid>
            <w:tr w14:paraId="2D9ECB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noWrap w:val="0"/>
                  <w:tcMar>
                    <w:top w:w="28" w:type="dxa"/>
                    <w:left w:w="28" w:type="dxa"/>
                    <w:bottom w:w="28" w:type="dxa"/>
                    <w:right w:w="28" w:type="dxa"/>
                  </w:tcMar>
                  <w:vAlign w:val="center"/>
                </w:tcPr>
                <w:p w14:paraId="3BC71C2E">
                  <w:pPr>
                    <w:pStyle w:val="24"/>
                    <w:bidi w:val="0"/>
                    <w:jc w:val="center"/>
                    <w:rPr>
                      <w:b/>
                      <w:bCs/>
                    </w:rPr>
                  </w:pPr>
                  <w:r>
                    <w:rPr>
                      <w:b/>
                      <w:bCs/>
                    </w:rPr>
                    <w:t>设施场所</w:t>
                  </w:r>
                </w:p>
              </w:tc>
              <w:tc>
                <w:tcPr>
                  <w:tcW w:w="2509" w:type="pct"/>
                  <w:gridSpan w:val="2"/>
                  <w:noWrap w:val="0"/>
                  <w:tcMar>
                    <w:top w:w="28" w:type="dxa"/>
                    <w:left w:w="28" w:type="dxa"/>
                    <w:bottom w:w="28" w:type="dxa"/>
                    <w:right w:w="28" w:type="dxa"/>
                  </w:tcMar>
                  <w:vAlign w:val="center"/>
                </w:tcPr>
                <w:p w14:paraId="32C0D2DE">
                  <w:pPr>
                    <w:pStyle w:val="24"/>
                    <w:bidi w:val="0"/>
                    <w:jc w:val="center"/>
                    <w:rPr>
                      <w:b/>
                      <w:bCs/>
                    </w:rPr>
                  </w:pPr>
                  <w:r>
                    <w:rPr>
                      <w:b/>
                      <w:bCs/>
                    </w:rPr>
                    <w:t>警告标志</w:t>
                  </w:r>
                </w:p>
              </w:tc>
              <w:tc>
                <w:tcPr>
                  <w:tcW w:w="1889" w:type="pct"/>
                  <w:noWrap w:val="0"/>
                  <w:tcMar>
                    <w:top w:w="28" w:type="dxa"/>
                    <w:left w:w="28" w:type="dxa"/>
                    <w:bottom w:w="28" w:type="dxa"/>
                    <w:right w:w="28" w:type="dxa"/>
                  </w:tcMar>
                  <w:vAlign w:val="center"/>
                </w:tcPr>
                <w:p w14:paraId="539E145C">
                  <w:pPr>
                    <w:pStyle w:val="24"/>
                    <w:bidi w:val="0"/>
                    <w:jc w:val="center"/>
                    <w:rPr>
                      <w:b/>
                      <w:bCs/>
                    </w:rPr>
                  </w:pPr>
                  <w:r>
                    <w:rPr>
                      <w:b/>
                      <w:bCs/>
                    </w:rPr>
                    <w:t>悬挂位置</w:t>
                  </w:r>
                </w:p>
              </w:tc>
            </w:tr>
            <w:tr w14:paraId="74286F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noWrap w:val="0"/>
                  <w:tcMar>
                    <w:top w:w="28" w:type="dxa"/>
                    <w:left w:w="28" w:type="dxa"/>
                    <w:bottom w:w="28" w:type="dxa"/>
                    <w:right w:w="28" w:type="dxa"/>
                  </w:tcMar>
                  <w:vAlign w:val="center"/>
                </w:tcPr>
                <w:p w14:paraId="6F762868">
                  <w:pPr>
                    <w:pStyle w:val="24"/>
                    <w:bidi w:val="0"/>
                    <w:jc w:val="center"/>
                  </w:pPr>
                  <w:r>
                    <w:t>危险废物</w:t>
                  </w:r>
                </w:p>
                <w:p w14:paraId="32C16988">
                  <w:pPr>
                    <w:pStyle w:val="24"/>
                    <w:bidi w:val="0"/>
                    <w:jc w:val="center"/>
                  </w:pPr>
                  <w:r>
                    <w:t>贮存场所</w:t>
                  </w:r>
                </w:p>
              </w:tc>
              <w:tc>
                <w:tcPr>
                  <w:tcW w:w="1285" w:type="pct"/>
                  <w:noWrap w:val="0"/>
                  <w:tcMar>
                    <w:top w:w="28" w:type="dxa"/>
                    <w:left w:w="28" w:type="dxa"/>
                    <w:bottom w:w="28" w:type="dxa"/>
                    <w:right w:w="28" w:type="dxa"/>
                  </w:tcMar>
                  <w:vAlign w:val="center"/>
                </w:tcPr>
                <w:p w14:paraId="7C0F0380">
                  <w:pPr>
                    <w:pStyle w:val="24"/>
                    <w:bidi w:val="0"/>
                  </w:pPr>
                  <w:r>
                    <w:drawing>
                      <wp:inline distT="0" distB="0" distL="114300" distR="114300">
                        <wp:extent cx="1393825" cy="1511300"/>
                        <wp:effectExtent l="0" t="0" r="15875" b="1270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15"/>
                                <a:stretch>
                                  <a:fillRect/>
                                </a:stretch>
                              </pic:blipFill>
                              <pic:spPr>
                                <a:xfrm>
                                  <a:off x="0" y="0"/>
                                  <a:ext cx="1393825" cy="1511300"/>
                                </a:xfrm>
                                <a:prstGeom prst="rect">
                                  <a:avLst/>
                                </a:prstGeom>
                                <a:noFill/>
                                <a:ln>
                                  <a:noFill/>
                                </a:ln>
                              </pic:spPr>
                            </pic:pic>
                          </a:graphicData>
                        </a:graphic>
                      </wp:inline>
                    </w:drawing>
                  </w:r>
                </w:p>
              </w:tc>
              <w:tc>
                <w:tcPr>
                  <w:tcW w:w="1224" w:type="pct"/>
                  <w:noWrap w:val="0"/>
                  <w:vAlign w:val="center"/>
                </w:tcPr>
                <w:p w14:paraId="0DBEF154">
                  <w:pPr>
                    <w:pStyle w:val="24"/>
                    <w:bidi w:val="0"/>
                  </w:pPr>
                  <w:r>
                    <w:t>形状：三角形外边长500mm，内边长375mm</w:t>
                  </w:r>
                </w:p>
                <w:p w14:paraId="35943110">
                  <w:pPr>
                    <w:pStyle w:val="24"/>
                    <w:bidi w:val="0"/>
                  </w:pPr>
                  <w:r>
                    <w:t>颜色：背景为黄色，RGB颜色值为（255,255,0），字体和边框颜色为黑色，RGB颜色值为（0,0,0）</w:t>
                  </w:r>
                </w:p>
                <w:p w14:paraId="63C0A7E1">
                  <w:pPr>
                    <w:pStyle w:val="24"/>
                    <w:bidi w:val="0"/>
                  </w:pPr>
                  <w:r>
                    <w:t>字体：黑体字，其中危险废物设施类型的字样应加粗放大并居中显示</w:t>
                  </w:r>
                </w:p>
                <w:p w14:paraId="566922AC">
                  <w:pPr>
                    <w:pStyle w:val="24"/>
                    <w:bidi w:val="0"/>
                  </w:pPr>
                </w:p>
              </w:tc>
              <w:tc>
                <w:tcPr>
                  <w:tcW w:w="1889" w:type="pct"/>
                  <w:noWrap w:val="0"/>
                  <w:tcMar>
                    <w:top w:w="28" w:type="dxa"/>
                    <w:left w:w="28" w:type="dxa"/>
                    <w:bottom w:w="28" w:type="dxa"/>
                    <w:right w:w="28" w:type="dxa"/>
                  </w:tcMar>
                  <w:vAlign w:val="center"/>
                </w:tcPr>
                <w:p w14:paraId="45A0EBCA">
                  <w:pPr>
                    <w:pStyle w:val="24"/>
                    <w:bidi w:val="0"/>
                  </w:pPr>
                  <w:r>
                    <w:t>危险废物标签的设置位置应明显可见或易读，不应被容器、包装物自身的任何部分或其他标签遮挡，危险废物标签在各种包装上的粘贴位置分别为：a箱类包装：位于包装端面或侧面；b袋类包装：位于包装明显处；c桶类包装：位于桶身或桶盖；d其他包装：位于明显处。优先选择附着式，当无法选择附着式时，选择柱式，附着式标志的设置高度，应尽量与视线高度一致；柱式的标志和支架应牢固的联系在一起，标志最上端距地面约2m；位于室外的标志牌中，支架固定在地下的，其支架埋深约0.3m。</w:t>
                  </w:r>
                </w:p>
              </w:tc>
            </w:tr>
            <w:tr w14:paraId="00D4CA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01" w:type="pct"/>
                  <w:noWrap w:val="0"/>
                  <w:tcMar>
                    <w:top w:w="28" w:type="dxa"/>
                    <w:left w:w="28" w:type="dxa"/>
                    <w:bottom w:w="28" w:type="dxa"/>
                    <w:right w:w="28" w:type="dxa"/>
                  </w:tcMar>
                  <w:vAlign w:val="center"/>
                </w:tcPr>
                <w:p w14:paraId="050AC1DA">
                  <w:pPr>
                    <w:pStyle w:val="24"/>
                    <w:bidi w:val="0"/>
                    <w:jc w:val="center"/>
                  </w:pPr>
                  <w:r>
                    <w:t>危险废物贮存场所的危险废物标签</w:t>
                  </w:r>
                </w:p>
              </w:tc>
              <w:tc>
                <w:tcPr>
                  <w:tcW w:w="1285" w:type="pct"/>
                  <w:noWrap w:val="0"/>
                  <w:tcMar>
                    <w:top w:w="28" w:type="dxa"/>
                    <w:left w:w="28" w:type="dxa"/>
                    <w:bottom w:w="28" w:type="dxa"/>
                    <w:right w:w="28" w:type="dxa"/>
                  </w:tcMar>
                  <w:vAlign w:val="center"/>
                </w:tcPr>
                <w:p w14:paraId="65B6A86B">
                  <w:pPr>
                    <w:pStyle w:val="24"/>
                    <w:bidi w:val="0"/>
                  </w:pPr>
                  <w:r>
                    <w:drawing>
                      <wp:inline distT="0" distB="0" distL="114300" distR="114300">
                        <wp:extent cx="1432560" cy="1439545"/>
                        <wp:effectExtent l="0" t="0" r="15240" b="8255"/>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pic:cNvPicPr>
                              </pic:nvPicPr>
                              <pic:blipFill>
                                <a:blip r:embed="rId16"/>
                                <a:stretch>
                                  <a:fillRect/>
                                </a:stretch>
                              </pic:blipFill>
                              <pic:spPr>
                                <a:xfrm>
                                  <a:off x="0" y="0"/>
                                  <a:ext cx="1432560" cy="1439545"/>
                                </a:xfrm>
                                <a:prstGeom prst="rect">
                                  <a:avLst/>
                                </a:prstGeom>
                                <a:noFill/>
                                <a:ln>
                                  <a:noFill/>
                                </a:ln>
                              </pic:spPr>
                            </pic:pic>
                          </a:graphicData>
                        </a:graphic>
                      </wp:inline>
                    </w:drawing>
                  </w:r>
                </w:p>
              </w:tc>
              <w:tc>
                <w:tcPr>
                  <w:tcW w:w="1224" w:type="pct"/>
                  <w:noWrap w:val="0"/>
                  <w:vAlign w:val="center"/>
                </w:tcPr>
                <w:p w14:paraId="4A7A4AEC">
                  <w:pPr>
                    <w:pStyle w:val="24"/>
                    <w:bidi w:val="0"/>
                  </w:pPr>
                  <w:r>
                    <w:t>尺寸：100×100mm</w:t>
                  </w:r>
                </w:p>
                <w:p w14:paraId="712F39F9">
                  <w:pPr>
                    <w:pStyle w:val="24"/>
                    <w:bidi w:val="0"/>
                  </w:pPr>
                  <w:r>
                    <w:t>底色：醒目橘黄色，RGB颜色值为（250,150,0）</w:t>
                  </w:r>
                </w:p>
                <w:p w14:paraId="1BFAB50D">
                  <w:pPr>
                    <w:pStyle w:val="24"/>
                    <w:bidi w:val="0"/>
                  </w:pPr>
                  <w:r>
                    <w:t>字体：黑体字，其中“危险废物”字样应加粗放大</w:t>
                  </w:r>
                </w:p>
                <w:p w14:paraId="451F382A">
                  <w:pPr>
                    <w:pStyle w:val="24"/>
                    <w:bidi w:val="0"/>
                  </w:pPr>
                  <w:r>
                    <w:t>字体颜色：黑色，RGB颜色值为（0,0,0）</w:t>
                  </w:r>
                </w:p>
              </w:tc>
              <w:tc>
                <w:tcPr>
                  <w:tcW w:w="1889" w:type="pct"/>
                  <w:noWrap w:val="0"/>
                  <w:tcMar>
                    <w:top w:w="28" w:type="dxa"/>
                    <w:left w:w="28" w:type="dxa"/>
                    <w:bottom w:w="28" w:type="dxa"/>
                    <w:right w:w="28" w:type="dxa"/>
                  </w:tcMar>
                  <w:vAlign w:val="center"/>
                </w:tcPr>
                <w:p w14:paraId="48429247">
                  <w:pPr>
                    <w:pStyle w:val="24"/>
                    <w:bidi w:val="0"/>
                  </w:pPr>
                  <w:r>
                    <w:t>宜在危险废物贮存设施内的每一个贮存分区外设置危险废物贮存分区标志。危险废物贮存分区标志宜设置在该贮存分区前的通道位置或墙壁、栏杆等易于观察的位置，可采用附着式（如钉挂、粘贴等）、悬挂式和柱式（固定于标志杆或支架等物体上。）</w:t>
                  </w:r>
                </w:p>
              </w:tc>
            </w:tr>
          </w:tbl>
          <w:p w14:paraId="6CE47FB6">
            <w:pPr>
              <w:pStyle w:val="51"/>
              <w:bidi w:val="0"/>
              <w:rPr>
                <w:rFonts w:hint="default" w:ascii="Times New Roman" w:hAnsi="Times New Roman" w:cs="Times New Roman"/>
                <w:b/>
                <w:bCs/>
                <w:color w:val="auto"/>
                <w:lang w:val="en-US" w:eastAsia="zh-CN"/>
              </w:rPr>
            </w:pPr>
            <w:r>
              <w:t>通过采取以上措施后，本项目生产过程中产生的固体废物均得到合理处置和处理，不会对当地环境产生明显影响。</w:t>
            </w:r>
          </w:p>
          <w:p w14:paraId="03E1DF4C">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地下水、土壤</w:t>
            </w:r>
          </w:p>
          <w:p w14:paraId="5E1059AF">
            <w:pPr>
              <w:pStyle w:val="44"/>
              <w:bidi w:val="0"/>
              <w:rPr>
                <w:rFonts w:hint="default" w:ascii="Times New Roman" w:hAnsi="Times New Roman" w:eastAsia="宋体" w:cs="Times New Roman"/>
                <w:color w:val="auto"/>
                <w:lang w:val="en-US" w:eastAsia="zh-CN"/>
              </w:rPr>
            </w:pPr>
            <w:r>
              <w:rPr>
                <w:rFonts w:hint="default" w:ascii="Times New Roman" w:hAnsi="Times New Roman" w:cs="Times New Roman"/>
                <w:color w:val="auto"/>
              </w:rPr>
              <w:t>本项目为</w:t>
            </w:r>
            <w:r>
              <w:rPr>
                <w:rFonts w:hint="eastAsia" w:cs="Times New Roman"/>
                <w:color w:val="auto"/>
                <w:lang w:val="en-US" w:eastAsia="zh-CN"/>
              </w:rPr>
              <w:t>丙烷充装</w:t>
            </w:r>
            <w:r>
              <w:rPr>
                <w:rFonts w:hint="default" w:ascii="Times New Roman" w:hAnsi="Times New Roman" w:cs="Times New Roman"/>
                <w:color w:val="auto"/>
              </w:rPr>
              <w:t>项目，项目在正常运转下不会对土壤、地下水有影响。</w:t>
            </w:r>
            <w:r>
              <w:rPr>
                <w:rFonts w:hint="eastAsia" w:cs="Times New Roman"/>
                <w:color w:val="auto"/>
                <w:lang w:val="en-US" w:eastAsia="zh-CN"/>
              </w:rPr>
              <w:t>非正常运转时，本项目原料为液态丙烷，泄漏时，常温状态下为气体，不会对土壤及地下水造成影响。</w:t>
            </w:r>
          </w:p>
          <w:p w14:paraId="7D161D2C">
            <w:pPr>
              <w:pStyle w:val="44"/>
              <w:bidi w:val="0"/>
              <w:rPr>
                <w:rFonts w:hint="default" w:ascii="Times New Roman" w:hAnsi="Times New Roman" w:cs="Times New Roman"/>
                <w:color w:val="auto"/>
              </w:rPr>
            </w:pPr>
            <w:r>
              <w:rPr>
                <w:rFonts w:hint="default" w:ascii="Times New Roman" w:hAnsi="Times New Roman" w:cs="Times New Roman"/>
                <w:color w:val="auto"/>
              </w:rPr>
              <w:t>分区防控措施：为防止对地下水的污染，按照重点防渗区、简单防渗区进行防渗处理，对污染防治区应分别采取不同等级的防渗方案，按照相关行业防渗技术规范，采取必要的防渗措施，项目防渗要求见下表。</w:t>
            </w:r>
          </w:p>
          <w:p w14:paraId="1A979FA2">
            <w:pPr>
              <w:pStyle w:val="25"/>
              <w:bidi w:val="0"/>
              <w:rPr>
                <w:rFonts w:hint="default"/>
                <w:color w:val="auto"/>
                <w:lang w:val="zh-CN" w:eastAsia="zh-CN"/>
              </w:rPr>
            </w:pPr>
            <w:r>
              <w:rPr>
                <w:rFonts w:hint="default"/>
                <w:color w:val="auto"/>
                <w:lang w:val="zh-CN" w:eastAsia="zh-CN"/>
              </w:rPr>
              <w:t>表</w:t>
            </w:r>
            <w:r>
              <w:rPr>
                <w:rFonts w:hint="eastAsia"/>
                <w:color w:val="auto"/>
                <w:lang w:val="en-US" w:eastAsia="zh-CN"/>
              </w:rPr>
              <w:t>4-16</w:t>
            </w:r>
            <w:r>
              <w:rPr>
                <w:rFonts w:hint="default"/>
                <w:color w:val="auto"/>
                <w:lang w:val="zh-CN" w:eastAsia="zh-CN"/>
              </w:rPr>
              <w:t xml:space="preserve">  </w:t>
            </w:r>
            <w:r>
              <w:rPr>
                <w:rFonts w:hint="eastAsia"/>
                <w:color w:val="auto"/>
                <w:lang w:val="en-US" w:eastAsia="zh-CN"/>
              </w:rPr>
              <w:t xml:space="preserve">              </w:t>
            </w:r>
            <w:r>
              <w:rPr>
                <w:rFonts w:hint="default"/>
                <w:color w:val="auto"/>
                <w:lang w:val="zh-CN" w:eastAsia="zh-CN"/>
              </w:rPr>
              <w:t>项目地下水污染防渗分区表</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01"/>
              <w:gridCol w:w="1693"/>
              <w:gridCol w:w="5131"/>
            </w:tblGrid>
            <w:tr w14:paraId="38785A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noWrap w:val="0"/>
                  <w:vAlign w:val="center"/>
                </w:tcPr>
                <w:p w14:paraId="6709B1E4">
                  <w:pPr>
                    <w:pStyle w:val="24"/>
                    <w:bidi w:val="0"/>
                    <w:jc w:val="center"/>
                    <w:rPr>
                      <w:rFonts w:hint="default"/>
                      <w:b/>
                      <w:bCs/>
                      <w:color w:val="auto"/>
                    </w:rPr>
                  </w:pPr>
                  <w:r>
                    <w:rPr>
                      <w:rFonts w:hint="default"/>
                      <w:b/>
                      <w:bCs/>
                      <w:color w:val="auto"/>
                    </w:rPr>
                    <w:t>防渗分区</w:t>
                  </w:r>
                </w:p>
              </w:tc>
              <w:tc>
                <w:tcPr>
                  <w:tcW w:w="1693" w:type="dxa"/>
                  <w:noWrap w:val="0"/>
                  <w:vAlign w:val="center"/>
                </w:tcPr>
                <w:p w14:paraId="45603AF7">
                  <w:pPr>
                    <w:pStyle w:val="24"/>
                    <w:bidi w:val="0"/>
                    <w:jc w:val="center"/>
                    <w:rPr>
                      <w:rFonts w:hint="default"/>
                      <w:b/>
                      <w:bCs/>
                      <w:color w:val="auto"/>
                    </w:rPr>
                  </w:pPr>
                  <w:r>
                    <w:rPr>
                      <w:rFonts w:hint="default"/>
                      <w:b/>
                      <w:bCs/>
                      <w:color w:val="auto"/>
                    </w:rPr>
                    <w:t>防渗位置</w:t>
                  </w:r>
                </w:p>
              </w:tc>
              <w:tc>
                <w:tcPr>
                  <w:tcW w:w="5131" w:type="dxa"/>
                  <w:noWrap w:val="0"/>
                  <w:vAlign w:val="center"/>
                </w:tcPr>
                <w:p w14:paraId="022FB01C">
                  <w:pPr>
                    <w:pStyle w:val="24"/>
                    <w:bidi w:val="0"/>
                    <w:jc w:val="center"/>
                    <w:rPr>
                      <w:rFonts w:hint="default"/>
                      <w:b/>
                      <w:bCs/>
                      <w:color w:val="auto"/>
                    </w:rPr>
                  </w:pPr>
                  <w:r>
                    <w:rPr>
                      <w:rFonts w:hint="default"/>
                      <w:b/>
                      <w:bCs/>
                      <w:color w:val="auto"/>
                    </w:rPr>
                    <w:t>防渗措施</w:t>
                  </w:r>
                </w:p>
              </w:tc>
            </w:tr>
            <w:tr w14:paraId="013433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restart"/>
                  <w:noWrap w:val="0"/>
                  <w:vAlign w:val="center"/>
                </w:tcPr>
                <w:p w14:paraId="55D680A3">
                  <w:pPr>
                    <w:pStyle w:val="24"/>
                    <w:bidi w:val="0"/>
                    <w:jc w:val="center"/>
                    <w:rPr>
                      <w:rFonts w:hint="default"/>
                      <w:color w:val="auto"/>
                    </w:rPr>
                  </w:pPr>
                  <w:r>
                    <w:rPr>
                      <w:rFonts w:hint="default"/>
                      <w:color w:val="auto"/>
                    </w:rPr>
                    <w:t>重点防渗区</w:t>
                  </w:r>
                </w:p>
              </w:tc>
              <w:tc>
                <w:tcPr>
                  <w:tcW w:w="1693" w:type="dxa"/>
                  <w:noWrap w:val="0"/>
                  <w:vAlign w:val="center"/>
                </w:tcPr>
                <w:p w14:paraId="2CA7EF57">
                  <w:pPr>
                    <w:pStyle w:val="24"/>
                    <w:bidi w:val="0"/>
                    <w:jc w:val="center"/>
                    <w:rPr>
                      <w:rFonts w:hint="default"/>
                      <w:color w:val="auto"/>
                    </w:rPr>
                  </w:pPr>
                  <w:r>
                    <w:rPr>
                      <w:rFonts w:hint="eastAsia"/>
                      <w:color w:val="auto"/>
                      <w:lang w:val="en-US" w:eastAsia="zh-CN"/>
                    </w:rPr>
                    <w:t>5</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化粪池</w:t>
                  </w:r>
                </w:p>
              </w:tc>
              <w:tc>
                <w:tcPr>
                  <w:tcW w:w="5131" w:type="dxa"/>
                  <w:noWrap w:val="0"/>
                  <w:vAlign w:val="center"/>
                </w:tcPr>
                <w:p w14:paraId="4852C535">
                  <w:pPr>
                    <w:pStyle w:val="24"/>
                    <w:bidi w:val="0"/>
                    <w:jc w:val="center"/>
                    <w:rPr>
                      <w:rFonts w:hint="default"/>
                      <w:color w:val="auto"/>
                    </w:rPr>
                  </w:pPr>
                  <w:r>
                    <w:rPr>
                      <w:rFonts w:hint="default"/>
                      <w:color w:val="auto"/>
                      <w:lang w:val="en-US" w:eastAsia="zh-CN"/>
                    </w:rPr>
                    <w:t>玻璃钢防渗化粪池</w:t>
                  </w:r>
                  <w:r>
                    <w:rPr>
                      <w:rFonts w:hint="default"/>
                      <w:color w:val="auto"/>
                    </w:rPr>
                    <w:t>，防渗系数≤1×10</w:t>
                  </w:r>
                  <w:r>
                    <w:rPr>
                      <w:rFonts w:hint="default"/>
                      <w:color w:val="auto"/>
                      <w:vertAlign w:val="superscript"/>
                    </w:rPr>
                    <w:t>-7</w:t>
                  </w:r>
                  <w:r>
                    <w:rPr>
                      <w:rFonts w:hint="default"/>
                      <w:color w:val="auto"/>
                    </w:rPr>
                    <w:t>cm/s</w:t>
                  </w:r>
                </w:p>
              </w:tc>
            </w:tr>
            <w:tr w14:paraId="32DE80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continue"/>
                  <w:noWrap w:val="0"/>
                  <w:vAlign w:val="center"/>
                </w:tcPr>
                <w:p w14:paraId="36CEB584">
                  <w:pPr>
                    <w:pStyle w:val="24"/>
                    <w:bidi w:val="0"/>
                    <w:jc w:val="center"/>
                    <w:rPr>
                      <w:rFonts w:hint="default"/>
                      <w:color w:val="auto"/>
                    </w:rPr>
                  </w:pPr>
                </w:p>
              </w:tc>
              <w:tc>
                <w:tcPr>
                  <w:tcW w:w="1693" w:type="dxa"/>
                  <w:noWrap w:val="0"/>
                  <w:vAlign w:val="center"/>
                </w:tcPr>
                <w:p w14:paraId="4A754BBF">
                  <w:pPr>
                    <w:pStyle w:val="24"/>
                    <w:bidi w:val="0"/>
                    <w:jc w:val="center"/>
                    <w:rPr>
                      <w:rFonts w:hint="default"/>
                      <w:color w:val="auto"/>
                      <w:lang w:val="en-US" w:eastAsia="zh-CN"/>
                    </w:rPr>
                  </w:pPr>
                  <w:r>
                    <w:rPr>
                      <w:rFonts w:hint="eastAsia"/>
                      <w:color w:val="auto"/>
                      <w:lang w:val="en-US" w:eastAsia="zh-CN"/>
                    </w:rPr>
                    <w:t>5m</w:t>
                  </w:r>
                  <w:r>
                    <w:rPr>
                      <w:rFonts w:hint="eastAsia"/>
                      <w:color w:val="auto"/>
                      <w:vertAlign w:val="superscript"/>
                      <w:lang w:val="en-US" w:eastAsia="zh-CN"/>
                    </w:rPr>
                    <w:t>2</w:t>
                  </w:r>
                  <w:r>
                    <w:rPr>
                      <w:rFonts w:hint="eastAsia"/>
                      <w:color w:val="auto"/>
                      <w:lang w:val="en-US" w:eastAsia="zh-CN"/>
                    </w:rPr>
                    <w:t>危废暂存间</w:t>
                  </w:r>
                </w:p>
              </w:tc>
              <w:tc>
                <w:tcPr>
                  <w:tcW w:w="5131" w:type="dxa"/>
                  <w:vMerge w:val="restart"/>
                  <w:noWrap w:val="0"/>
                  <w:vAlign w:val="center"/>
                </w:tcPr>
                <w:p w14:paraId="577C21D3">
                  <w:pPr>
                    <w:pStyle w:val="24"/>
                    <w:bidi w:val="0"/>
                    <w:jc w:val="center"/>
                    <w:rPr>
                      <w:rFonts w:hint="default"/>
                      <w:color w:val="auto"/>
                    </w:rPr>
                  </w:pPr>
                  <w:r>
                    <w:rPr>
                      <w:rFonts w:hint="default"/>
                      <w:color w:val="auto"/>
                    </w:rPr>
                    <w:t>对其地面与裙脚采取防渗措施，防渗层为至少1m厚黏土层（渗透系数不大于10</w:t>
                  </w:r>
                  <w:r>
                    <w:rPr>
                      <w:rFonts w:hint="default"/>
                      <w:color w:val="auto"/>
                      <w:vertAlign w:val="superscript"/>
                    </w:rPr>
                    <w:t>-7</w:t>
                  </w:r>
                  <w:r>
                    <w:rPr>
                      <w:rFonts w:hint="default"/>
                      <w:color w:val="auto"/>
                    </w:rPr>
                    <w:t>cm/s），或至少2mm厚高密度聚乙烯膜等人工防渗材料（渗透系数不大于10</w:t>
                  </w:r>
                  <w:r>
                    <w:rPr>
                      <w:rFonts w:hint="default"/>
                      <w:color w:val="auto"/>
                      <w:vertAlign w:val="superscript"/>
                    </w:rPr>
                    <w:t>-10</w:t>
                  </w:r>
                  <w:r>
                    <w:rPr>
                      <w:rFonts w:hint="default"/>
                      <w:color w:val="auto"/>
                    </w:rPr>
                    <w:t>cm/s），或其他防渗性能等效的材料</w:t>
                  </w:r>
                </w:p>
              </w:tc>
            </w:tr>
            <w:tr w14:paraId="5E76C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vMerge w:val="continue"/>
                  <w:noWrap w:val="0"/>
                  <w:vAlign w:val="center"/>
                </w:tcPr>
                <w:p w14:paraId="7859B095">
                  <w:pPr>
                    <w:pStyle w:val="24"/>
                    <w:bidi w:val="0"/>
                    <w:jc w:val="center"/>
                    <w:rPr>
                      <w:rFonts w:hint="default"/>
                      <w:color w:val="auto"/>
                    </w:rPr>
                  </w:pPr>
                </w:p>
              </w:tc>
              <w:tc>
                <w:tcPr>
                  <w:tcW w:w="1693" w:type="dxa"/>
                  <w:noWrap w:val="0"/>
                  <w:vAlign w:val="center"/>
                </w:tcPr>
                <w:p w14:paraId="761F201F">
                  <w:pPr>
                    <w:pStyle w:val="24"/>
                    <w:bidi w:val="0"/>
                    <w:jc w:val="center"/>
                    <w:rPr>
                      <w:rFonts w:hint="eastAsia"/>
                      <w:color w:val="auto"/>
                      <w:lang w:val="en-US" w:eastAsia="zh-CN"/>
                    </w:rPr>
                  </w:pPr>
                  <w:r>
                    <w:rPr>
                      <w:rFonts w:hint="eastAsia"/>
                      <w:color w:val="auto"/>
                      <w:lang w:val="en-US" w:eastAsia="zh-CN"/>
                    </w:rPr>
                    <w:t>贮罐区</w:t>
                  </w:r>
                </w:p>
              </w:tc>
              <w:tc>
                <w:tcPr>
                  <w:tcW w:w="5131" w:type="dxa"/>
                  <w:vMerge w:val="continue"/>
                  <w:noWrap w:val="0"/>
                  <w:vAlign w:val="center"/>
                </w:tcPr>
                <w:p w14:paraId="6E7F3FEB">
                  <w:pPr>
                    <w:pStyle w:val="24"/>
                    <w:bidi w:val="0"/>
                    <w:jc w:val="center"/>
                    <w:rPr>
                      <w:rFonts w:hint="default"/>
                      <w:color w:val="auto"/>
                    </w:rPr>
                  </w:pPr>
                </w:p>
              </w:tc>
            </w:tr>
            <w:tr w14:paraId="7C80F6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1" w:type="dxa"/>
                  <w:noWrap w:val="0"/>
                  <w:vAlign w:val="center"/>
                </w:tcPr>
                <w:p w14:paraId="118071A6">
                  <w:pPr>
                    <w:pStyle w:val="24"/>
                    <w:bidi w:val="0"/>
                    <w:jc w:val="center"/>
                    <w:rPr>
                      <w:rFonts w:hint="default"/>
                      <w:color w:val="auto"/>
                    </w:rPr>
                  </w:pPr>
                  <w:r>
                    <w:rPr>
                      <w:rFonts w:hint="default"/>
                      <w:color w:val="auto"/>
                    </w:rPr>
                    <w:t>简单防渗区</w:t>
                  </w:r>
                </w:p>
              </w:tc>
              <w:tc>
                <w:tcPr>
                  <w:tcW w:w="1693" w:type="dxa"/>
                  <w:noWrap w:val="0"/>
                  <w:vAlign w:val="center"/>
                </w:tcPr>
                <w:p w14:paraId="3A51D386">
                  <w:pPr>
                    <w:pStyle w:val="24"/>
                    <w:bidi w:val="0"/>
                    <w:jc w:val="center"/>
                    <w:rPr>
                      <w:rFonts w:hint="eastAsia"/>
                      <w:color w:val="auto"/>
                      <w:lang w:val="en-US" w:eastAsia="zh-CN"/>
                    </w:rPr>
                  </w:pPr>
                  <w:r>
                    <w:rPr>
                      <w:rFonts w:hint="eastAsia"/>
                      <w:color w:val="auto"/>
                      <w:lang w:val="en-US" w:eastAsia="zh-CN"/>
                    </w:rPr>
                    <w:t>其他区域</w:t>
                  </w:r>
                </w:p>
              </w:tc>
              <w:tc>
                <w:tcPr>
                  <w:tcW w:w="5131" w:type="dxa"/>
                  <w:noWrap w:val="0"/>
                  <w:vAlign w:val="center"/>
                </w:tcPr>
                <w:p w14:paraId="7D7E7375">
                  <w:pPr>
                    <w:pStyle w:val="24"/>
                    <w:bidi w:val="0"/>
                    <w:jc w:val="center"/>
                    <w:rPr>
                      <w:rFonts w:hint="default"/>
                      <w:color w:val="auto"/>
                    </w:rPr>
                  </w:pPr>
                  <w:r>
                    <w:rPr>
                      <w:rFonts w:hint="eastAsia"/>
                      <w:lang w:val="en-US" w:eastAsia="zh-CN"/>
                    </w:rPr>
                    <w:t>一般地面</w:t>
                  </w:r>
                  <w:r>
                    <w:rPr>
                      <w:rFonts w:hint="eastAsia"/>
                    </w:rPr>
                    <w:t>硬化措施</w:t>
                  </w:r>
                </w:p>
              </w:tc>
            </w:tr>
          </w:tbl>
          <w:p w14:paraId="30B3A8BA">
            <w:pPr>
              <w:pStyle w:val="44"/>
              <w:keepNext w:val="0"/>
              <w:keepLines w:val="0"/>
              <w:pageBreakBefore w:val="0"/>
              <w:widowControl w:val="0"/>
              <w:numPr>
                <w:ilvl w:val="0"/>
                <w:numId w:val="5"/>
              </w:numPr>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环境风险分析</w:t>
            </w:r>
          </w:p>
          <w:p w14:paraId="7C9D578C">
            <w:pPr>
              <w:widowControl/>
              <w:spacing w:line="360" w:lineRule="auto"/>
              <w:ind w:firstLine="360" w:firstLineChars="150"/>
              <w:textAlignment w:val="baseline"/>
              <w:outlineLvl w:val="1"/>
              <w:rPr>
                <w:rFonts w:hint="eastAsia" w:ascii="Times New Roman" w:hAnsi="Times New Roman" w:eastAsia="宋体" w:cs="Times New Roman"/>
                <w:color w:val="auto"/>
                <w:kern w:val="0"/>
                <w:sz w:val="24"/>
                <w:highlight w:val="none"/>
                <w:u w:val="none" w:color="000000"/>
                <w:lang w:val="en-US" w:eastAsia="zh-CN"/>
              </w:rPr>
            </w:pPr>
            <w:r>
              <w:rPr>
                <w:rFonts w:hint="default" w:ascii="Times New Roman" w:hAnsi="Times New Roman" w:eastAsia="宋体" w:cs="Times New Roman"/>
                <w:color w:val="auto"/>
                <w:kern w:val="0"/>
                <w:sz w:val="24"/>
                <w:highlight w:val="none"/>
                <w:u w:val="none" w:color="000000"/>
              </w:rPr>
              <w:t>根据《建设项目环境风险评价技术导则》（HJ169-2018）附录B，本项目所用的原辅料主要为</w:t>
            </w:r>
            <w:r>
              <w:rPr>
                <w:rFonts w:hint="eastAsia" w:ascii="Times New Roman" w:hAnsi="Times New Roman" w:eastAsia="宋体" w:cs="Times New Roman"/>
                <w:color w:val="auto"/>
                <w:kern w:val="0"/>
                <w:sz w:val="24"/>
                <w:highlight w:val="none"/>
                <w:u w:val="none" w:color="000000"/>
                <w:lang w:val="en-US" w:eastAsia="zh-CN"/>
              </w:rPr>
              <w:t>丙烷</w:t>
            </w:r>
            <w:r>
              <w:rPr>
                <w:rFonts w:hint="eastAsia" w:cs="Times New Roman"/>
                <w:color w:val="auto"/>
                <w:kern w:val="0"/>
                <w:sz w:val="24"/>
                <w:highlight w:val="none"/>
                <w:u w:val="none" w:color="000000"/>
                <w:lang w:val="en-US" w:eastAsia="zh-CN"/>
              </w:rPr>
              <w:t>、乙炔</w:t>
            </w:r>
            <w:r>
              <w:rPr>
                <w:rFonts w:hint="default" w:ascii="Times New Roman" w:hAnsi="Times New Roman" w:eastAsia="宋体" w:cs="Times New Roman"/>
                <w:color w:val="auto"/>
                <w:kern w:val="0"/>
                <w:sz w:val="24"/>
                <w:highlight w:val="none"/>
                <w:u w:val="none" w:color="000000"/>
              </w:rPr>
              <w:t>，</w:t>
            </w:r>
            <w:r>
              <w:rPr>
                <w:rFonts w:hint="eastAsia" w:ascii="Times New Roman" w:hAnsi="Times New Roman" w:eastAsia="宋体" w:cs="Times New Roman"/>
                <w:color w:val="auto"/>
                <w:kern w:val="0"/>
                <w:sz w:val="24"/>
                <w:highlight w:val="none"/>
                <w:u w:val="none" w:color="000000"/>
                <w:lang w:val="en-US" w:eastAsia="zh-CN"/>
              </w:rPr>
              <w:t>为</w:t>
            </w:r>
            <w:r>
              <w:rPr>
                <w:rFonts w:hint="default" w:ascii="Times New Roman" w:hAnsi="Times New Roman" w:eastAsia="宋体" w:cs="Times New Roman"/>
                <w:color w:val="auto"/>
                <w:kern w:val="0"/>
                <w:sz w:val="24"/>
                <w:highlight w:val="none"/>
                <w:u w:val="none" w:color="000000"/>
              </w:rPr>
              <w:t>环境风险物质</w:t>
            </w:r>
            <w:r>
              <w:rPr>
                <w:rFonts w:hint="eastAsia" w:ascii="Times New Roman" w:hAnsi="Times New Roman" w:eastAsia="宋体" w:cs="Times New Roman"/>
                <w:color w:val="auto"/>
                <w:kern w:val="0"/>
                <w:sz w:val="24"/>
                <w:highlight w:val="none"/>
                <w:u w:val="none" w:color="000000"/>
                <w:lang w:eastAsia="zh-CN"/>
              </w:rPr>
              <w:t>，</w:t>
            </w:r>
            <w:r>
              <w:rPr>
                <w:rFonts w:hint="eastAsia" w:ascii="Times New Roman" w:hAnsi="Times New Roman" w:eastAsia="宋体" w:cs="Times New Roman"/>
                <w:color w:val="auto"/>
                <w:kern w:val="0"/>
                <w:sz w:val="24"/>
                <w:highlight w:val="none"/>
                <w:u w:val="none" w:color="000000"/>
                <w:lang w:val="en-US" w:eastAsia="zh-CN"/>
              </w:rPr>
              <w:t>评价等级为简单分析</w:t>
            </w:r>
            <w:r>
              <w:rPr>
                <w:rFonts w:hint="default" w:ascii="Times New Roman" w:hAnsi="Times New Roman" w:eastAsia="宋体" w:cs="Times New Roman"/>
                <w:color w:val="auto"/>
                <w:kern w:val="0"/>
                <w:sz w:val="24"/>
                <w:highlight w:val="none"/>
                <w:u w:val="none" w:color="000000"/>
              </w:rPr>
              <w:t>。</w:t>
            </w:r>
            <w:r>
              <w:rPr>
                <w:rFonts w:hint="eastAsia" w:ascii="Times New Roman" w:hAnsi="Times New Roman" w:eastAsia="宋体" w:cs="Times New Roman"/>
                <w:color w:val="auto"/>
                <w:kern w:val="0"/>
                <w:sz w:val="24"/>
                <w:highlight w:val="none"/>
                <w:u w:val="none" w:color="000000"/>
                <w:lang w:val="en-US" w:eastAsia="zh-CN"/>
              </w:rPr>
              <w:t>具体分析见《环境风险评价专章》。</w:t>
            </w:r>
          </w:p>
          <w:p w14:paraId="20EC6794">
            <w:pPr>
              <w:widowControl/>
              <w:spacing w:line="360" w:lineRule="auto"/>
              <w:ind w:firstLine="360" w:firstLineChars="150"/>
              <w:textAlignment w:val="baseline"/>
              <w:outlineLvl w:val="1"/>
              <w:rPr>
                <w:rFonts w:hint="default" w:ascii="Times New Roman" w:hAnsi="Times New Roman" w:eastAsia="宋体" w:cs="Times New Roman"/>
                <w:color w:val="auto"/>
                <w:kern w:val="0"/>
                <w:sz w:val="24"/>
                <w:highlight w:val="none"/>
                <w:u w:val="none" w:color="000000"/>
                <w:lang w:val="en-US" w:eastAsia="zh-CN"/>
              </w:rPr>
            </w:pPr>
            <w:r>
              <w:rPr>
                <w:rFonts w:hint="eastAsia" w:cs="Times New Roman"/>
                <w:color w:val="auto"/>
                <w:kern w:val="0"/>
                <w:sz w:val="24"/>
                <w:highlight w:val="none"/>
                <w:u w:val="none" w:color="000000"/>
                <w:lang w:val="en-US" w:eastAsia="zh-CN"/>
              </w:rPr>
              <w:t>经分析</w:t>
            </w:r>
            <w:r>
              <w:rPr>
                <w:rFonts w:hint="default" w:ascii="Times New Roman" w:hAnsi="Times New Roman" w:eastAsia="宋体" w:cs="Times New Roman"/>
                <w:color w:val="auto"/>
                <w:kern w:val="0"/>
                <w:sz w:val="24"/>
                <w:highlight w:val="none"/>
                <w:u w:val="none" w:color="000000"/>
                <w:lang w:val="en-US" w:eastAsia="zh-CN"/>
              </w:rPr>
              <w:t>，认为项目存在一定的环境风险隐患，但只要该项目员工严格遵照国家有关规定生产、操作，发生危害事故的几率是较小的。发生事故时如能严格落实本报告提出的各项防止环境污染的措施和要求，采取紧急的工程应急措施，事故产生的影响是可以控制的。</w:t>
            </w:r>
          </w:p>
          <w:p w14:paraId="25A9C9E8">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501CAC7A">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181B3236">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01FC0DAE">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48035482">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796893CC">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238358F0">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51CFFE5B">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36EC9C99">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7C889C3E">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65ED1ACD">
            <w:pPr>
              <w:pStyle w:val="44"/>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default" w:ascii="Times New Roman" w:hAnsi="Times New Roman" w:cs="Times New Roman"/>
                <w:b/>
                <w:bCs/>
                <w:color w:val="auto"/>
                <w:lang w:val="en-US" w:eastAsia="zh-CN"/>
              </w:rPr>
            </w:pPr>
          </w:p>
          <w:p w14:paraId="237DA6D1">
            <w:pPr>
              <w:adjustRightInd w:val="0"/>
              <w:snapToGrid w:val="0"/>
              <w:rPr>
                <w:rFonts w:hint="default" w:ascii="Times New Roman" w:hAnsi="Times New Roman" w:cs="Times New Roman"/>
                <w:bCs/>
                <w:color w:val="auto"/>
                <w:spacing w:val="-10"/>
                <w:szCs w:val="21"/>
              </w:rPr>
            </w:pPr>
          </w:p>
        </w:tc>
      </w:tr>
    </w:tbl>
    <w:p w14:paraId="57AFE05A">
      <w:pPr>
        <w:adjustRightInd w:val="0"/>
        <w:snapToGrid w:val="0"/>
        <w:spacing w:line="360" w:lineRule="auto"/>
        <w:rPr>
          <w:rFonts w:hint="default" w:ascii="Times New Roman" w:hAnsi="Times New Roman" w:cs="Times New Roman"/>
          <w:b/>
          <w:color w:val="auto"/>
          <w:kern w:val="0"/>
          <w:sz w:val="28"/>
          <w:szCs w:val="28"/>
        </w:rPr>
        <w:sectPr>
          <w:pgSz w:w="11907" w:h="16840"/>
          <w:pgMar w:top="1417" w:right="1417" w:bottom="1417" w:left="1417" w:header="851" w:footer="851" w:gutter="0"/>
          <w:cols w:space="720" w:num="1"/>
          <w:docGrid w:linePitch="312" w:charSpace="0"/>
        </w:sectPr>
      </w:pPr>
    </w:p>
    <w:p w14:paraId="6896A195">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五、</w:t>
      </w:r>
      <w:bookmarkStart w:id="8" w:name="_Hlk54167917"/>
      <w:r>
        <w:rPr>
          <w:rFonts w:hint="default" w:ascii="Times New Roman" w:hAnsi="Times New Roman" w:eastAsia="黑体" w:cs="Times New Roman"/>
          <w:snapToGrid w:val="0"/>
          <w:color w:val="auto"/>
          <w:sz w:val="30"/>
          <w:szCs w:val="30"/>
        </w:rPr>
        <w:t>环境保护措施监督检查清单</w:t>
      </w:r>
      <w:bookmarkEnd w:id="8"/>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764"/>
        <w:gridCol w:w="1766"/>
        <w:gridCol w:w="1766"/>
        <w:gridCol w:w="2200"/>
      </w:tblGrid>
      <w:tr w14:paraId="56CD2D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5" w:type="dxa"/>
            <w:tcBorders>
              <w:tl2br w:val="single" w:color="auto" w:sz="4" w:space="0"/>
            </w:tcBorders>
            <w:noWrap w:val="0"/>
            <w:vAlign w:val="top"/>
          </w:tcPr>
          <w:p w14:paraId="2FAB00B7">
            <w:pPr>
              <w:adjustRightInd w:val="0"/>
              <w:snapToGrid w:val="0"/>
              <w:ind w:firstLine="840"/>
              <w:rPr>
                <w:rFonts w:hint="default" w:ascii="Times New Roman" w:hAnsi="Times New Roman" w:cs="Times New Roman"/>
                <w:color w:val="auto"/>
                <w:szCs w:val="21"/>
              </w:rPr>
            </w:pPr>
            <w:r>
              <w:rPr>
                <w:rFonts w:hint="default" w:ascii="Times New Roman" w:hAnsi="Times New Roman" w:cs="Times New Roman"/>
                <w:color w:val="auto"/>
                <w:szCs w:val="21"/>
              </w:rPr>
              <w:t>内容</w:t>
            </w:r>
          </w:p>
          <w:p w14:paraId="5F4F366D">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要素</w:t>
            </w:r>
          </w:p>
        </w:tc>
        <w:tc>
          <w:tcPr>
            <w:tcW w:w="1764" w:type="dxa"/>
            <w:noWrap w:val="0"/>
            <w:vAlign w:val="center"/>
          </w:tcPr>
          <w:p w14:paraId="7072543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排放口(编号、</w:t>
            </w:r>
          </w:p>
          <w:p w14:paraId="7709E6C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名称)/污染源</w:t>
            </w:r>
          </w:p>
        </w:tc>
        <w:tc>
          <w:tcPr>
            <w:tcW w:w="1766" w:type="dxa"/>
            <w:noWrap w:val="0"/>
            <w:vAlign w:val="center"/>
          </w:tcPr>
          <w:p w14:paraId="70F84A05">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污染物项目</w:t>
            </w:r>
          </w:p>
        </w:tc>
        <w:tc>
          <w:tcPr>
            <w:tcW w:w="1766" w:type="dxa"/>
            <w:noWrap w:val="0"/>
            <w:vAlign w:val="center"/>
          </w:tcPr>
          <w:p w14:paraId="2936360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环境保护措施</w:t>
            </w:r>
          </w:p>
        </w:tc>
        <w:tc>
          <w:tcPr>
            <w:tcW w:w="2200" w:type="dxa"/>
            <w:noWrap w:val="0"/>
            <w:vAlign w:val="center"/>
          </w:tcPr>
          <w:p w14:paraId="2FDCBD61">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执行标准</w:t>
            </w:r>
          </w:p>
        </w:tc>
      </w:tr>
      <w:tr w14:paraId="080B1D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5" w:type="dxa"/>
            <w:noWrap w:val="0"/>
            <w:vAlign w:val="center"/>
          </w:tcPr>
          <w:p w14:paraId="231C659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1764" w:type="dxa"/>
            <w:noWrap w:val="0"/>
            <w:vAlign w:val="center"/>
          </w:tcPr>
          <w:p w14:paraId="59897F76">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无组织废气</w:t>
            </w:r>
          </w:p>
        </w:tc>
        <w:tc>
          <w:tcPr>
            <w:tcW w:w="1766" w:type="dxa"/>
            <w:noWrap w:val="0"/>
            <w:vAlign w:val="center"/>
          </w:tcPr>
          <w:p w14:paraId="7E34FD4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VOC</w:t>
            </w:r>
            <w:r>
              <w:rPr>
                <w:rFonts w:hint="eastAsia" w:cs="Times New Roman"/>
                <w:color w:val="auto"/>
                <w:szCs w:val="21"/>
                <w:vertAlign w:val="subscript"/>
                <w:lang w:val="en-US" w:eastAsia="zh-CN"/>
              </w:rPr>
              <w:t>S</w:t>
            </w:r>
          </w:p>
        </w:tc>
        <w:tc>
          <w:tcPr>
            <w:tcW w:w="1766" w:type="dxa"/>
            <w:noWrap w:val="0"/>
            <w:vAlign w:val="center"/>
          </w:tcPr>
          <w:p w14:paraId="7477E533">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2200" w:type="dxa"/>
            <w:noWrap w:val="0"/>
            <w:vAlign w:val="center"/>
          </w:tcPr>
          <w:p w14:paraId="0C132BAF">
            <w:pPr>
              <w:adjustRightInd w:val="0"/>
              <w:snapToGrid w:val="0"/>
              <w:jc w:val="center"/>
              <w:rPr>
                <w:rFonts w:hint="default" w:ascii="Times New Roman" w:hAnsi="Times New Roman" w:cs="Times New Roman"/>
                <w:color w:val="auto"/>
                <w:szCs w:val="21"/>
              </w:rPr>
            </w:pPr>
            <w:r>
              <w:rPr>
                <w:rFonts w:hint="eastAsia"/>
                <w:color w:val="auto"/>
                <w:lang w:val="en-US" w:eastAsia="zh-CN"/>
              </w:rPr>
              <w:t>《大气污染物综合排放标准》（GB16297-1996）中的无组织排放监控限值要求</w:t>
            </w:r>
          </w:p>
        </w:tc>
      </w:tr>
      <w:tr w14:paraId="3356EB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5" w:type="dxa"/>
            <w:noWrap w:val="0"/>
            <w:vAlign w:val="center"/>
          </w:tcPr>
          <w:p w14:paraId="1A54EC5C">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1764" w:type="dxa"/>
            <w:noWrap w:val="0"/>
            <w:vAlign w:val="center"/>
          </w:tcPr>
          <w:p w14:paraId="17416D4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职工生活用水</w:t>
            </w:r>
          </w:p>
        </w:tc>
        <w:tc>
          <w:tcPr>
            <w:tcW w:w="1766" w:type="dxa"/>
            <w:noWrap w:val="0"/>
            <w:vAlign w:val="center"/>
          </w:tcPr>
          <w:p w14:paraId="21DE24CE">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COD、BOD</w:t>
            </w:r>
            <w:r>
              <w:rPr>
                <w:rFonts w:hint="default" w:ascii="Times New Roman" w:hAnsi="Times New Roman" w:eastAsia="宋体" w:cs="Times New Roman"/>
                <w:color w:val="auto"/>
                <w:szCs w:val="21"/>
                <w:vertAlign w:val="subscript"/>
                <w:lang w:val="en-US" w:eastAsia="zh-CN"/>
              </w:rPr>
              <w:t>5</w:t>
            </w:r>
            <w:r>
              <w:rPr>
                <w:rFonts w:hint="default" w:ascii="Times New Roman" w:hAnsi="Times New Roman" w:eastAsia="宋体" w:cs="Times New Roman"/>
                <w:color w:val="auto"/>
                <w:szCs w:val="21"/>
                <w:vertAlign w:val="baseline"/>
                <w:lang w:val="en-US" w:eastAsia="zh-CN"/>
              </w:rPr>
              <w:t>、SS、氨氮</w:t>
            </w:r>
          </w:p>
        </w:tc>
        <w:tc>
          <w:tcPr>
            <w:tcW w:w="1766" w:type="dxa"/>
            <w:noWrap w:val="0"/>
            <w:vAlign w:val="center"/>
          </w:tcPr>
          <w:p w14:paraId="630E7FD2">
            <w:pPr>
              <w:adjustRightInd w:val="0"/>
              <w:snapToGrid w:val="0"/>
              <w:jc w:val="center"/>
              <w:rPr>
                <w:rFonts w:hint="default" w:ascii="Times New Roman" w:hAnsi="Times New Roman" w:cs="Times New Roman"/>
                <w:color w:val="auto"/>
                <w:szCs w:val="21"/>
                <w:lang w:val="en-US"/>
              </w:rPr>
            </w:pPr>
            <w:r>
              <w:rPr>
                <w:rFonts w:hint="default" w:ascii="Times New Roman" w:hAnsi="Times New Roman" w:eastAsia="宋体" w:cs="Times New Roman"/>
                <w:color w:val="auto"/>
                <w:szCs w:val="21"/>
                <w:lang w:val="en-US" w:eastAsia="zh-CN"/>
              </w:rPr>
              <w:t>生活污水经防渗化粪池（1座</w:t>
            </w:r>
            <w:r>
              <w:rPr>
                <w:rFonts w:hint="eastAsia" w:ascii="Times New Roman" w:hAnsi="Times New Roman"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eastAsia" w:cs="Times New Roman"/>
                <w:color w:val="auto"/>
                <w:szCs w:val="21"/>
                <w:lang w:val="en-US" w:eastAsia="zh-CN"/>
              </w:rPr>
              <w:t>预处理</w:t>
            </w:r>
            <w:r>
              <w:rPr>
                <w:rFonts w:hint="default" w:ascii="Times New Roman" w:hAnsi="Times New Roman" w:eastAsia="宋体" w:cs="Times New Roman"/>
                <w:color w:val="auto"/>
                <w:szCs w:val="21"/>
                <w:lang w:val="en-US" w:eastAsia="zh-CN"/>
              </w:rPr>
              <w:t>后，</w:t>
            </w:r>
            <w:r>
              <w:rPr>
                <w:rFonts w:hint="eastAsia" w:ascii="Times New Roman" w:hAnsi="Times New Roman" w:eastAsia="宋体" w:cs="Times New Roman"/>
                <w:color w:val="auto"/>
                <w:szCs w:val="21"/>
                <w:lang w:val="en-US" w:eastAsia="zh-CN"/>
              </w:rPr>
              <w:t>排入园区污水管网</w:t>
            </w:r>
          </w:p>
        </w:tc>
        <w:tc>
          <w:tcPr>
            <w:tcW w:w="2200" w:type="dxa"/>
            <w:noWrap w:val="0"/>
            <w:vAlign w:val="center"/>
          </w:tcPr>
          <w:p w14:paraId="46499997">
            <w:pPr>
              <w:adjustRightInd w:val="0"/>
              <w:snapToGrid w:val="0"/>
              <w:jc w:val="center"/>
              <w:rPr>
                <w:rFonts w:hint="default" w:ascii="Times New Roman" w:hAnsi="Times New Roman" w:cs="Times New Roman"/>
                <w:color w:val="auto"/>
                <w:szCs w:val="21"/>
              </w:rPr>
            </w:pPr>
            <w:r>
              <w:rPr>
                <w:rFonts w:hint="eastAsia"/>
                <w:color w:val="auto"/>
                <w:lang w:val="en-US" w:eastAsia="zh-CN"/>
              </w:rPr>
              <w:t>《污水排入城镇下水道水质标准》（GB/T31962-2015）</w:t>
            </w:r>
          </w:p>
        </w:tc>
      </w:tr>
      <w:tr w14:paraId="7D1F4C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5" w:type="dxa"/>
            <w:noWrap w:val="0"/>
            <w:vAlign w:val="center"/>
          </w:tcPr>
          <w:p w14:paraId="7CF64059">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1764" w:type="dxa"/>
            <w:noWrap w:val="0"/>
            <w:vAlign w:val="center"/>
          </w:tcPr>
          <w:p w14:paraId="7AF9BDD6">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设备</w:t>
            </w:r>
          </w:p>
        </w:tc>
        <w:tc>
          <w:tcPr>
            <w:tcW w:w="1766" w:type="dxa"/>
            <w:noWrap w:val="0"/>
            <w:vAlign w:val="center"/>
          </w:tcPr>
          <w:p w14:paraId="06FFEEDB">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设备噪声</w:t>
            </w:r>
          </w:p>
        </w:tc>
        <w:tc>
          <w:tcPr>
            <w:tcW w:w="1766" w:type="dxa"/>
            <w:noWrap w:val="0"/>
            <w:vAlign w:val="center"/>
          </w:tcPr>
          <w:p w14:paraId="03DB8E76">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选购低噪音设备，设备底部加减振垫</w:t>
            </w:r>
          </w:p>
        </w:tc>
        <w:tc>
          <w:tcPr>
            <w:tcW w:w="2200" w:type="dxa"/>
            <w:noWrap w:val="0"/>
            <w:vAlign w:val="center"/>
          </w:tcPr>
          <w:p w14:paraId="2E6D60BE">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工业企业厂界环境噪声排放标准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GB12348-2008</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中</w:t>
            </w:r>
            <w:r>
              <w:rPr>
                <w:rFonts w:hint="eastAsia" w:cs="Times New Roman"/>
                <w:color w:val="auto"/>
                <w:szCs w:val="21"/>
                <w:lang w:val="en-US" w:eastAsia="zh-CN"/>
              </w:rPr>
              <w:t>3</w:t>
            </w:r>
            <w:r>
              <w:rPr>
                <w:rFonts w:hint="default" w:ascii="Times New Roman" w:hAnsi="Times New Roman" w:eastAsia="宋体" w:cs="Times New Roman"/>
                <w:color w:val="auto"/>
                <w:szCs w:val="21"/>
                <w:lang w:val="en-US" w:eastAsia="zh-CN"/>
              </w:rPr>
              <w:t>类标准</w:t>
            </w:r>
          </w:p>
        </w:tc>
      </w:tr>
      <w:tr w14:paraId="569AF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85" w:type="dxa"/>
            <w:noWrap w:val="0"/>
            <w:vAlign w:val="center"/>
          </w:tcPr>
          <w:p w14:paraId="37E58F9E">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电磁辐射</w:t>
            </w:r>
          </w:p>
        </w:tc>
        <w:tc>
          <w:tcPr>
            <w:tcW w:w="1764" w:type="dxa"/>
            <w:noWrap w:val="0"/>
            <w:vAlign w:val="center"/>
          </w:tcPr>
          <w:p w14:paraId="326A8C41">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w:t>
            </w:r>
          </w:p>
        </w:tc>
        <w:tc>
          <w:tcPr>
            <w:tcW w:w="1766" w:type="dxa"/>
            <w:noWrap w:val="0"/>
            <w:vAlign w:val="center"/>
          </w:tcPr>
          <w:p w14:paraId="7FE56B5C">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w:t>
            </w:r>
          </w:p>
        </w:tc>
        <w:tc>
          <w:tcPr>
            <w:tcW w:w="1766" w:type="dxa"/>
            <w:noWrap w:val="0"/>
            <w:vAlign w:val="center"/>
          </w:tcPr>
          <w:p w14:paraId="3B810681">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w:t>
            </w:r>
          </w:p>
        </w:tc>
        <w:tc>
          <w:tcPr>
            <w:tcW w:w="2200" w:type="dxa"/>
            <w:noWrap w:val="0"/>
            <w:vAlign w:val="center"/>
          </w:tcPr>
          <w:p w14:paraId="0F14120D">
            <w:pPr>
              <w:adjustRightInd w:val="0"/>
              <w:snapToGrid w:val="0"/>
              <w:jc w:val="center"/>
              <w:rPr>
                <w:rFonts w:hint="default" w:ascii="Times New Roman" w:hAnsi="Times New Roman" w:cs="Times New Roman"/>
                <w:color w:val="auto"/>
                <w:szCs w:val="21"/>
              </w:rPr>
            </w:pPr>
            <w:r>
              <w:rPr>
                <w:rFonts w:hint="default" w:ascii="Times New Roman" w:hAnsi="Times New Roman" w:eastAsia="宋体" w:cs="Times New Roman"/>
                <w:color w:val="auto"/>
                <w:szCs w:val="21"/>
                <w:lang w:val="en-US" w:eastAsia="zh-CN"/>
              </w:rPr>
              <w:t>/</w:t>
            </w:r>
          </w:p>
        </w:tc>
      </w:tr>
      <w:tr w14:paraId="070EF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85" w:type="dxa"/>
            <w:noWrap w:val="0"/>
            <w:vAlign w:val="center"/>
          </w:tcPr>
          <w:p w14:paraId="30D35922">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496" w:type="dxa"/>
            <w:gridSpan w:val="4"/>
            <w:noWrap w:val="0"/>
            <w:vAlign w:val="center"/>
          </w:tcPr>
          <w:p w14:paraId="49950585">
            <w:pPr>
              <w:pStyle w:val="23"/>
              <w:bidi w:val="0"/>
              <w:rPr>
                <w:rFonts w:hint="eastAsia" w:ascii="Times New Roman" w:hAnsi="Times New Roman" w:eastAsia="宋体" w:cs="Times New Roman"/>
                <w:color w:val="auto"/>
                <w:szCs w:val="21"/>
                <w:lang w:val="en-US" w:eastAsia="zh-CN"/>
              </w:rPr>
            </w:pPr>
            <w:r>
              <w:rPr>
                <w:rFonts w:hint="eastAsia"/>
                <w:color w:val="auto"/>
                <w:lang w:val="en-US" w:eastAsia="zh-CN"/>
              </w:rPr>
              <w:t>生活垃圾统一清运至园区垃圾中转站后由环卫部门统一处置处理，危险废物由有资质的单位回收处理；废钢瓶由市级或市级以上质监部门指定的气瓶检验机构报废销毁</w:t>
            </w:r>
          </w:p>
        </w:tc>
      </w:tr>
      <w:tr w14:paraId="61E332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85" w:type="dxa"/>
            <w:noWrap w:val="0"/>
            <w:vAlign w:val="center"/>
          </w:tcPr>
          <w:p w14:paraId="66A27DF4">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土壤及地下水</w:t>
            </w:r>
          </w:p>
          <w:p w14:paraId="38A46D8F">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污染防治措施</w:t>
            </w:r>
          </w:p>
        </w:tc>
        <w:tc>
          <w:tcPr>
            <w:tcW w:w="7496" w:type="dxa"/>
            <w:gridSpan w:val="4"/>
            <w:noWrap w:val="0"/>
            <w:vAlign w:val="center"/>
          </w:tcPr>
          <w:p w14:paraId="7297349B">
            <w:pPr>
              <w:pStyle w:val="23"/>
              <w:bidi w:val="0"/>
              <w:rPr>
                <w:rFonts w:hint="default"/>
                <w:color w:val="auto"/>
                <w:lang w:val="en-US" w:eastAsia="zh-CN"/>
              </w:rPr>
            </w:pPr>
            <w:r>
              <w:rPr>
                <w:rFonts w:hint="eastAsia"/>
                <w:color w:val="auto"/>
                <w:lang w:val="en-US" w:eastAsia="zh-CN"/>
              </w:rPr>
              <w:t>1.</w:t>
            </w:r>
            <w:r>
              <w:rPr>
                <w:rFonts w:hint="default"/>
                <w:color w:val="auto"/>
                <w:lang w:val="en-US" w:eastAsia="zh-CN"/>
              </w:rPr>
              <w:t>建设一座</w:t>
            </w:r>
            <w:r>
              <w:rPr>
                <w:rFonts w:hint="eastAsia"/>
                <w:color w:val="auto"/>
                <w:lang w:val="en-US" w:eastAsia="zh-CN"/>
              </w:rPr>
              <w:t>5</w:t>
            </w:r>
            <w:r>
              <w:rPr>
                <w:rFonts w:hint="default"/>
                <w:color w:val="auto"/>
                <w:lang w:val="en-US" w:eastAsia="zh-CN"/>
              </w:rPr>
              <w:t>m</w:t>
            </w:r>
            <w:r>
              <w:rPr>
                <w:rFonts w:hint="default"/>
                <w:color w:val="auto"/>
                <w:vertAlign w:val="superscript"/>
                <w:lang w:val="en-US" w:eastAsia="zh-CN"/>
              </w:rPr>
              <w:t>3</w:t>
            </w:r>
            <w:r>
              <w:rPr>
                <w:rFonts w:hint="default"/>
                <w:color w:val="auto"/>
                <w:lang w:val="en-US" w:eastAsia="zh-CN"/>
              </w:rPr>
              <w:t>防渗化粪池，防渗系数10</w:t>
            </w:r>
            <w:r>
              <w:rPr>
                <w:rFonts w:hint="default"/>
                <w:color w:val="auto"/>
                <w:vertAlign w:val="superscript"/>
                <w:lang w:val="en-US" w:eastAsia="zh-CN"/>
              </w:rPr>
              <w:t>-7</w:t>
            </w:r>
            <w:r>
              <w:rPr>
                <w:rFonts w:hint="default"/>
                <w:color w:val="auto"/>
                <w:lang w:val="en-US" w:eastAsia="zh-CN"/>
              </w:rPr>
              <w:t>cm/s</w:t>
            </w:r>
          </w:p>
          <w:p w14:paraId="35A87DB9">
            <w:pPr>
              <w:pStyle w:val="23"/>
              <w:bidi w:val="0"/>
              <w:rPr>
                <w:rFonts w:hint="default"/>
                <w:color w:val="auto"/>
                <w:lang w:val="en-US" w:eastAsia="zh-CN"/>
              </w:rPr>
            </w:pPr>
            <w:r>
              <w:rPr>
                <w:rFonts w:hint="eastAsia"/>
                <w:color w:val="auto"/>
                <w:lang w:val="en-US" w:eastAsia="zh-CN"/>
              </w:rPr>
              <w:t>2.建设一间5m</w:t>
            </w:r>
            <w:r>
              <w:rPr>
                <w:rFonts w:hint="eastAsia"/>
                <w:color w:val="auto"/>
                <w:vertAlign w:val="superscript"/>
                <w:lang w:val="en-US" w:eastAsia="zh-CN"/>
              </w:rPr>
              <w:t>2</w:t>
            </w:r>
            <w:r>
              <w:rPr>
                <w:rFonts w:hint="eastAsia"/>
                <w:color w:val="auto"/>
                <w:lang w:val="en-US" w:eastAsia="zh-CN"/>
              </w:rPr>
              <w:t>危废暂存间，</w:t>
            </w:r>
            <w:r>
              <w:rPr>
                <w:rFonts w:hint="default"/>
                <w:color w:val="auto"/>
                <w:lang w:val="en-US" w:eastAsia="zh-CN"/>
              </w:rPr>
              <w:t>对其地面与裙脚采取防渗措施，防渗层为至少1m厚黏土层（渗透系数不大于10</w:t>
            </w:r>
            <w:r>
              <w:rPr>
                <w:rFonts w:hint="default"/>
                <w:color w:val="auto"/>
                <w:vertAlign w:val="superscript"/>
                <w:lang w:val="en-US" w:eastAsia="zh-CN"/>
              </w:rPr>
              <w:t>-7</w:t>
            </w:r>
            <w:r>
              <w:rPr>
                <w:rFonts w:hint="default"/>
                <w:color w:val="auto"/>
                <w:lang w:val="en-US" w:eastAsia="zh-CN"/>
              </w:rPr>
              <w:t>cm/s），或至少2mm厚高密度聚乙烯膜等人工防渗材料（渗透系数不大于10</w:t>
            </w:r>
            <w:r>
              <w:rPr>
                <w:rFonts w:hint="default"/>
                <w:color w:val="auto"/>
                <w:vertAlign w:val="superscript"/>
                <w:lang w:val="en-US" w:eastAsia="zh-CN"/>
              </w:rPr>
              <w:t>-10</w:t>
            </w:r>
            <w:r>
              <w:rPr>
                <w:rFonts w:hint="default"/>
                <w:color w:val="auto"/>
                <w:lang w:val="en-US" w:eastAsia="zh-CN"/>
              </w:rPr>
              <w:t>cm/s），或其他防渗性能等效的材料</w:t>
            </w:r>
          </w:p>
          <w:p w14:paraId="23796D31">
            <w:pPr>
              <w:pStyle w:val="23"/>
              <w:bidi w:val="0"/>
              <w:rPr>
                <w:rFonts w:hint="default"/>
                <w:color w:val="auto"/>
                <w:lang w:val="en-US" w:eastAsia="zh-CN"/>
              </w:rPr>
            </w:pPr>
            <w:r>
              <w:rPr>
                <w:rFonts w:hint="eastAsia"/>
                <w:color w:val="auto"/>
                <w:lang w:val="en-US" w:eastAsia="zh-CN"/>
              </w:rPr>
              <w:t>3.贮罐区，</w:t>
            </w:r>
            <w:r>
              <w:rPr>
                <w:rFonts w:hint="default"/>
                <w:color w:val="auto"/>
                <w:lang w:val="en-US" w:eastAsia="zh-CN"/>
              </w:rPr>
              <w:t>对其地面与裙脚采取防渗措施，防渗层为至少1m厚黏土层（渗透系数不大于10</w:t>
            </w:r>
            <w:r>
              <w:rPr>
                <w:rFonts w:hint="default"/>
                <w:color w:val="auto"/>
                <w:vertAlign w:val="superscript"/>
                <w:lang w:val="en-US" w:eastAsia="zh-CN"/>
              </w:rPr>
              <w:t>-7</w:t>
            </w:r>
            <w:r>
              <w:rPr>
                <w:rFonts w:hint="default"/>
                <w:color w:val="auto"/>
                <w:lang w:val="en-US" w:eastAsia="zh-CN"/>
              </w:rPr>
              <w:t>cm/s），或至少2mm厚高密度聚乙烯膜等人工防渗材料（渗透系数不大于10</w:t>
            </w:r>
            <w:r>
              <w:rPr>
                <w:rFonts w:hint="default"/>
                <w:color w:val="auto"/>
                <w:vertAlign w:val="superscript"/>
                <w:lang w:val="en-US" w:eastAsia="zh-CN"/>
              </w:rPr>
              <w:t>-10</w:t>
            </w:r>
            <w:r>
              <w:rPr>
                <w:rFonts w:hint="default"/>
                <w:color w:val="auto"/>
                <w:lang w:val="en-US" w:eastAsia="zh-CN"/>
              </w:rPr>
              <w:t>cm/s），或其他防渗性能等效的材料</w:t>
            </w:r>
          </w:p>
        </w:tc>
      </w:tr>
      <w:tr w14:paraId="33D7E7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85" w:type="dxa"/>
            <w:noWrap w:val="0"/>
            <w:vAlign w:val="center"/>
          </w:tcPr>
          <w:p w14:paraId="5A659C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生态保护措施</w:t>
            </w:r>
          </w:p>
        </w:tc>
        <w:tc>
          <w:tcPr>
            <w:tcW w:w="7496" w:type="dxa"/>
            <w:gridSpan w:val="4"/>
            <w:noWrap w:val="0"/>
            <w:vAlign w:val="center"/>
          </w:tcPr>
          <w:p w14:paraId="4CD0AB5F">
            <w:pPr>
              <w:adjustRightInd w:val="0"/>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r>
      <w:tr w14:paraId="0AFA57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785" w:type="dxa"/>
            <w:noWrap w:val="0"/>
            <w:vAlign w:val="center"/>
          </w:tcPr>
          <w:p w14:paraId="18B1789A">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环境风险</w:t>
            </w:r>
          </w:p>
          <w:p w14:paraId="5394B55E">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防范措施</w:t>
            </w:r>
          </w:p>
        </w:tc>
        <w:tc>
          <w:tcPr>
            <w:tcW w:w="7496" w:type="dxa"/>
            <w:gridSpan w:val="4"/>
            <w:noWrap w:val="0"/>
            <w:vAlign w:val="center"/>
          </w:tcPr>
          <w:p w14:paraId="3634B012">
            <w:pPr>
              <w:adjustRightInd w:val="0"/>
              <w:snapToGrid w:val="0"/>
              <w:spacing w:line="360" w:lineRule="auto"/>
              <w:ind w:firstLine="480" w:firstLineChars="200"/>
              <w:contextualSpacing/>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严禁烟火，加强管理，严格操作规范，制定一系列的防火规章制度。</w:t>
            </w:r>
          </w:p>
          <w:p w14:paraId="159EB201">
            <w:pPr>
              <w:adjustRightInd w:val="0"/>
              <w:snapToGrid w:val="0"/>
              <w:spacing w:line="360" w:lineRule="auto"/>
              <w:ind w:firstLine="480" w:firstLineChars="200"/>
              <w:contextualSpacing/>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按照《建筑灭火器配置设计规范》（GB50140-2005）规定，配置相应类型和数量的灭火器（干粉灭火器等），并在火灾危险场所设置报警装置。消防器材应当设置在明显和便于取用的地点，周围不准堆放物品和杂物。车间的消防设施、器材应当由专人管理，负责检查、维修、保养、更换和添置，保证完好有效，严禁圈占、埋压和挪用。对消防器材应当经常进行检查，保持完整好用。本项目建成后会根据实际情况配备相应的灭火器材，满足消防的需求。</w:t>
            </w:r>
          </w:p>
          <w:p w14:paraId="0A360776">
            <w:pPr>
              <w:adjustRightInd w:val="0"/>
              <w:snapToGrid w:val="0"/>
              <w:spacing w:line="360" w:lineRule="auto"/>
              <w:ind w:firstLine="480" w:firstLineChars="200"/>
              <w:contextualSpacing/>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总图布置严格执行国家有关部门现行的设计规范、规定及标准。各生产装置之间严格按防火防爆间距布置，厂房及建筑物按规定等级设计。根据车间（工序）生产过程中火灾危险等级及毒物危害程度分级进行分类、分区布置。合理划分管理区、工艺生产区、辅助生产区及储运设施区，各区按其危害程度采取相应的安全防范措施进行管理。合理组织人流和货流，结合交通、消防的需要，装置区周围设置环形消防道，以满足工艺流程、厂内外运输、检修及生产管理的要求。</w:t>
            </w:r>
          </w:p>
          <w:p w14:paraId="024E1FB9">
            <w:pPr>
              <w:pStyle w:val="23"/>
              <w:bidi w:val="0"/>
              <w:rPr>
                <w:rFonts w:hint="default"/>
                <w:color w:val="auto"/>
              </w:rPr>
            </w:pPr>
            <w:r>
              <w:rPr>
                <w:rFonts w:hint="eastAsia"/>
                <w:color w:val="auto"/>
                <w:lang w:val="en-US" w:eastAsia="zh-CN"/>
              </w:rPr>
              <w:t>5.</w:t>
            </w:r>
            <w:r>
              <w:rPr>
                <w:rFonts w:hint="default"/>
                <w:color w:val="auto"/>
              </w:rPr>
              <w:t>电气和仪表专业设计按照《爆炸危险环境电力装置设计规范》(GB5008-2014)执行，将能产生电火花的设备放在远离现场的配电站内，并采用密闭电器。</w:t>
            </w:r>
          </w:p>
        </w:tc>
      </w:tr>
      <w:tr w14:paraId="211C9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85" w:type="dxa"/>
            <w:noWrap w:val="0"/>
            <w:vAlign w:val="center"/>
          </w:tcPr>
          <w:p w14:paraId="43F96945">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其他环境</w:t>
            </w:r>
          </w:p>
          <w:p w14:paraId="38846208">
            <w:pPr>
              <w:adjustRightInd w:val="0"/>
              <w:snapToGrid w:val="0"/>
              <w:jc w:val="center"/>
              <w:rPr>
                <w:rFonts w:hint="default" w:ascii="Times New Roman" w:hAnsi="Times New Roman" w:cs="Times New Roman"/>
                <w:color w:val="auto"/>
                <w:spacing w:val="-8"/>
                <w:szCs w:val="21"/>
              </w:rPr>
            </w:pPr>
            <w:r>
              <w:rPr>
                <w:rFonts w:hint="default" w:ascii="Times New Roman" w:hAnsi="Times New Roman" w:cs="Times New Roman"/>
                <w:color w:val="auto"/>
                <w:spacing w:val="-8"/>
                <w:szCs w:val="21"/>
              </w:rPr>
              <w:t>管理要求</w:t>
            </w:r>
          </w:p>
        </w:tc>
        <w:tc>
          <w:tcPr>
            <w:tcW w:w="7496" w:type="dxa"/>
            <w:gridSpan w:val="4"/>
            <w:noWrap w:val="0"/>
            <w:vAlign w:val="center"/>
          </w:tcPr>
          <w:p w14:paraId="622D0EFA">
            <w:pPr>
              <w:pStyle w:val="23"/>
              <w:bidi w:val="0"/>
              <w:rPr>
                <w:rFonts w:hint="eastAsia"/>
                <w:color w:val="auto"/>
                <w:lang w:val="en-US" w:eastAsia="zh-CN"/>
              </w:rPr>
            </w:pPr>
          </w:p>
          <w:p w14:paraId="29FD606A">
            <w:pPr>
              <w:pStyle w:val="23"/>
              <w:bidi w:val="0"/>
              <w:rPr>
                <w:rFonts w:hint="eastAsia"/>
                <w:color w:val="auto"/>
                <w:lang w:val="en-US" w:eastAsia="zh-CN"/>
              </w:rPr>
            </w:pPr>
          </w:p>
          <w:p w14:paraId="499AC06C">
            <w:pPr>
              <w:pStyle w:val="23"/>
              <w:bidi w:val="0"/>
              <w:rPr>
                <w:rFonts w:hint="eastAsia"/>
                <w:color w:val="auto"/>
              </w:rPr>
            </w:pPr>
            <w:r>
              <w:rPr>
                <w:rFonts w:hint="eastAsia"/>
                <w:color w:val="auto"/>
                <w:lang w:val="en-US" w:eastAsia="zh-CN"/>
              </w:rPr>
              <w:t xml:space="preserve">1.加强管理，建立各种完善的生产环保规章制度，严格在岗人员操作管理，操作人员须通过培训和定期考核，方可上岗，加强设备、各项治污措施的定期检修和维护工作。 </w:t>
            </w:r>
          </w:p>
          <w:p w14:paraId="02FFBC1F">
            <w:pPr>
              <w:pStyle w:val="23"/>
              <w:bidi w:val="0"/>
              <w:rPr>
                <w:rFonts w:hint="eastAsia"/>
                <w:color w:val="auto"/>
              </w:rPr>
            </w:pPr>
            <w:r>
              <w:rPr>
                <w:rFonts w:hint="eastAsia"/>
                <w:color w:val="auto"/>
                <w:lang w:val="en-US" w:eastAsia="zh-CN"/>
              </w:rPr>
              <w:t xml:space="preserve">2.该项目各项污染处理设施必须经当地环保部门验收合格后，建设单位方可正式投入生产。 </w:t>
            </w:r>
          </w:p>
          <w:p w14:paraId="544A761D">
            <w:pPr>
              <w:pStyle w:val="23"/>
              <w:bidi w:val="0"/>
              <w:rPr>
                <w:rFonts w:hint="eastAsia"/>
                <w:color w:val="auto"/>
                <w:lang w:val="en-US" w:eastAsia="zh-CN"/>
              </w:rPr>
            </w:pPr>
            <w:r>
              <w:rPr>
                <w:rFonts w:hint="eastAsia"/>
                <w:color w:val="auto"/>
                <w:lang w:val="en-US" w:eastAsia="zh-CN"/>
              </w:rPr>
              <w:t>3.工厂应加强环保宣传教育工作，强化公司的各项环境管理工作。自觉接受市、区环保主管部门对公司环保工作的监督指导。</w:t>
            </w:r>
          </w:p>
          <w:p w14:paraId="0D0CC02C">
            <w:pPr>
              <w:pStyle w:val="23"/>
              <w:bidi w:val="0"/>
              <w:rPr>
                <w:rFonts w:hint="default"/>
                <w:color w:val="auto"/>
                <w:lang w:val="en-US" w:eastAsia="zh-CN"/>
              </w:rPr>
            </w:pPr>
            <w:r>
              <w:rPr>
                <w:rFonts w:hint="eastAsia"/>
                <w:color w:val="auto"/>
                <w:lang w:val="en-US" w:eastAsia="zh-CN"/>
              </w:rPr>
              <w:t>4.按照要求进行监测。</w:t>
            </w:r>
          </w:p>
          <w:p w14:paraId="18FD1541">
            <w:pPr>
              <w:pStyle w:val="23"/>
              <w:bidi w:val="0"/>
              <w:rPr>
                <w:rFonts w:hint="eastAsia"/>
                <w:color w:val="auto"/>
                <w:lang w:val="en-US" w:eastAsia="zh-CN"/>
              </w:rPr>
            </w:pPr>
          </w:p>
        </w:tc>
      </w:tr>
    </w:tbl>
    <w:p w14:paraId="556AD323">
      <w:pPr>
        <w:pStyle w:val="1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637B9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9288" w:type="dxa"/>
            <w:noWrap w:val="0"/>
            <w:vAlign w:val="top"/>
          </w:tcPr>
          <w:p w14:paraId="75563E1C">
            <w:pPr>
              <w:pStyle w:val="23"/>
              <w:bidi w:val="0"/>
              <w:jc w:val="both"/>
              <w:rPr>
                <w:rFonts w:hint="eastAsia"/>
                <w:color w:val="auto"/>
                <w:lang w:val="en-US" w:eastAsia="zh-CN"/>
              </w:rPr>
            </w:pPr>
            <w:r>
              <w:rPr>
                <w:rFonts w:hint="eastAsia"/>
                <w:color w:val="auto"/>
                <w:lang w:val="en-US" w:eastAsia="zh-CN"/>
              </w:rPr>
              <w:t>本项目符合国家相关产业政策，用地选址合理可行，总平面布置合理可行；区域无明显环境制约因子。项目在运行中产生一定程度的废水、废气、噪声及固体废物的污染，建设单位加强营运期管理，严格遵循环保“三同时”制度，在切实落实本报告提出的各项污染防治措施前提下，项目对周围环境的影响可以控制在国家有关标准和要求的允许范围以内。本次项目拟采取的污染防治措施从技术上和经济上均可行。</w:t>
            </w:r>
          </w:p>
          <w:p w14:paraId="5DC6FAD3">
            <w:pPr>
              <w:pStyle w:val="23"/>
              <w:bidi w:val="0"/>
              <w:jc w:val="both"/>
              <w:rPr>
                <w:rFonts w:hint="default"/>
                <w:color w:val="auto"/>
              </w:rPr>
            </w:pPr>
            <w:r>
              <w:rPr>
                <w:rFonts w:hint="eastAsia"/>
                <w:color w:val="auto"/>
                <w:lang w:val="en-US" w:eastAsia="zh-CN"/>
              </w:rPr>
              <w:t>从环境保护角度分析，该项目建设可行。</w:t>
            </w:r>
          </w:p>
        </w:tc>
      </w:tr>
    </w:tbl>
    <w:p w14:paraId="7D1A217A">
      <w:pPr>
        <w:rPr>
          <w:rFonts w:hint="default" w:ascii="Times New Roman" w:hAnsi="Times New Roman" w:cs="Times New Roman"/>
          <w:color w:val="auto"/>
        </w:rPr>
        <w:sectPr>
          <w:pgSz w:w="11906" w:h="16838"/>
          <w:pgMar w:top="1417" w:right="1417" w:bottom="1417" w:left="1417" w:header="851" w:footer="851" w:gutter="0"/>
          <w:cols w:space="720" w:num="1"/>
          <w:docGrid w:linePitch="312" w:charSpace="0"/>
        </w:sectPr>
      </w:pPr>
    </w:p>
    <w:p w14:paraId="25832E65">
      <w:pPr>
        <w:pStyle w:val="1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32"/>
          <w:szCs w:val="32"/>
        </w:rPr>
      </w:pPr>
      <w:r>
        <w:rPr>
          <w:rFonts w:hint="default" w:ascii="Times New Roman" w:hAnsi="Times New Roman" w:eastAsia="黑体" w:cs="Times New Roman"/>
          <w:snapToGrid w:val="0"/>
          <w:color w:val="auto"/>
          <w:sz w:val="32"/>
          <w:szCs w:val="32"/>
        </w:rPr>
        <w:t>附表</w:t>
      </w:r>
    </w:p>
    <w:p w14:paraId="59529B3D">
      <w:pPr>
        <w:pStyle w:val="15"/>
        <w:adjustRightInd w:val="0"/>
        <w:snapToGrid w:val="0"/>
        <w:spacing w:before="0" w:beforeAutospacing="0" w:after="0" w:afterAutospacing="0" w:line="552" w:lineRule="auto"/>
        <w:jc w:val="center"/>
        <w:outlineLvl w:val="0"/>
        <w:rPr>
          <w:rFonts w:hint="default" w:ascii="Times New Roman" w:hAnsi="Times New Roman" w:eastAsia="方正小标宋_GBK" w:cs="Times New Roman"/>
          <w:snapToGrid w:val="0"/>
          <w:color w:val="auto"/>
          <w:sz w:val="38"/>
          <w:szCs w:val="38"/>
        </w:rPr>
      </w:pPr>
      <w:r>
        <w:rPr>
          <w:rFonts w:hint="default" w:ascii="Times New Roman" w:hAnsi="Times New Roman" w:eastAsia="方正小标宋_GBK" w:cs="Times New Roman"/>
          <w:snapToGrid w:val="0"/>
          <w:color w:val="auto"/>
          <w:sz w:val="38"/>
          <w:szCs w:val="38"/>
        </w:rPr>
        <w:t>建设项目污染物排放量汇总表</w:t>
      </w:r>
    </w:p>
    <w:tbl>
      <w:tblPr>
        <w:tblStyle w:val="1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11"/>
        <w:gridCol w:w="1437"/>
        <w:gridCol w:w="1729"/>
        <w:gridCol w:w="1296"/>
        <w:gridCol w:w="1729"/>
        <w:gridCol w:w="1586"/>
        <w:gridCol w:w="1791"/>
        <w:gridCol w:w="1816"/>
        <w:gridCol w:w="1057"/>
      </w:tblGrid>
      <w:tr w14:paraId="29A7F0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611" w:type="dxa"/>
            <w:tcBorders>
              <w:tl2br w:val="single" w:color="auto" w:sz="4" w:space="0"/>
            </w:tcBorders>
            <w:noWrap w:val="0"/>
            <w:tcMar>
              <w:left w:w="28" w:type="dxa"/>
              <w:right w:w="28" w:type="dxa"/>
            </w:tcMar>
            <w:vAlign w:val="center"/>
          </w:tcPr>
          <w:p w14:paraId="64D05995">
            <w:pPr>
              <w:pStyle w:val="50"/>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14:paraId="4F3F2FCB">
            <w:pPr>
              <w:pStyle w:val="50"/>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437" w:type="dxa"/>
            <w:noWrap w:val="0"/>
            <w:tcMar>
              <w:left w:w="28" w:type="dxa"/>
              <w:right w:w="28" w:type="dxa"/>
            </w:tcMar>
            <w:vAlign w:val="center"/>
          </w:tcPr>
          <w:p w14:paraId="33F26DD7">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29" w:type="dxa"/>
            <w:noWrap w:val="0"/>
            <w:tcMar>
              <w:left w:w="28" w:type="dxa"/>
              <w:right w:w="28" w:type="dxa"/>
            </w:tcMar>
            <w:vAlign w:val="center"/>
          </w:tcPr>
          <w:p w14:paraId="423CF9B5">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6CA39C21">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96" w:type="dxa"/>
            <w:noWrap w:val="0"/>
            <w:tcMar>
              <w:left w:w="28" w:type="dxa"/>
              <w:right w:w="28" w:type="dxa"/>
            </w:tcMar>
            <w:vAlign w:val="center"/>
          </w:tcPr>
          <w:p w14:paraId="33238FFA">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14:paraId="39C3FCBF">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14:paraId="510BFB23">
            <w:pPr>
              <w:pStyle w:val="50"/>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29" w:type="dxa"/>
            <w:noWrap w:val="0"/>
            <w:tcMar>
              <w:left w:w="28" w:type="dxa"/>
              <w:right w:w="28" w:type="dxa"/>
            </w:tcMar>
            <w:vAlign w:val="center"/>
          </w:tcPr>
          <w:p w14:paraId="13073C52">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14:paraId="3AD5A36D">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86" w:type="dxa"/>
            <w:noWrap w:val="0"/>
            <w:tcMar>
              <w:left w:w="28" w:type="dxa"/>
              <w:right w:w="28" w:type="dxa"/>
            </w:tcMar>
            <w:vAlign w:val="center"/>
          </w:tcPr>
          <w:p w14:paraId="65FE7859">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14:paraId="5A9979ED">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91" w:type="dxa"/>
            <w:noWrap w:val="0"/>
            <w:tcMar>
              <w:left w:w="28" w:type="dxa"/>
              <w:right w:w="28" w:type="dxa"/>
            </w:tcMar>
            <w:vAlign w:val="center"/>
          </w:tcPr>
          <w:p w14:paraId="7E5CCDEF">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14:paraId="34904BA1">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816" w:type="dxa"/>
            <w:noWrap w:val="0"/>
            <w:tcMar>
              <w:left w:w="28" w:type="dxa"/>
              <w:right w:w="28" w:type="dxa"/>
            </w:tcMar>
            <w:vAlign w:val="center"/>
          </w:tcPr>
          <w:p w14:paraId="15D692A7">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14:paraId="5AB9F03E">
            <w:pPr>
              <w:pStyle w:val="50"/>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57" w:type="dxa"/>
            <w:noWrap w:val="0"/>
            <w:tcMar>
              <w:left w:w="28" w:type="dxa"/>
              <w:right w:w="28" w:type="dxa"/>
            </w:tcMar>
            <w:vAlign w:val="center"/>
          </w:tcPr>
          <w:p w14:paraId="7386ADD9">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14:paraId="6D6F80B8">
            <w:pPr>
              <w:pStyle w:val="50"/>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14:paraId="0691AB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restart"/>
            <w:noWrap w:val="0"/>
            <w:vAlign w:val="center"/>
          </w:tcPr>
          <w:p w14:paraId="357B3586">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437" w:type="dxa"/>
            <w:noWrap w:val="0"/>
            <w:vAlign w:val="center"/>
          </w:tcPr>
          <w:p w14:paraId="2F93B614">
            <w:pPr>
              <w:pStyle w:val="5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VOC</w:t>
            </w:r>
            <w:r>
              <w:rPr>
                <w:rFonts w:hint="eastAsia" w:ascii="Times New Roman" w:cs="Times New Roman"/>
                <w:snapToGrid w:val="0"/>
                <w:color w:val="auto"/>
                <w:kern w:val="21"/>
                <w:szCs w:val="21"/>
                <w:vertAlign w:val="subscript"/>
                <w:lang w:val="en-US" w:eastAsia="zh-CN"/>
              </w:rPr>
              <w:t>S</w:t>
            </w:r>
          </w:p>
        </w:tc>
        <w:tc>
          <w:tcPr>
            <w:tcW w:w="1729" w:type="dxa"/>
            <w:noWrap w:val="0"/>
            <w:vAlign w:val="center"/>
          </w:tcPr>
          <w:p w14:paraId="4C633498">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2751B0A7">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08EE445A">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2A24B36B">
            <w:pPr>
              <w:pStyle w:val="5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0.085t/a</w:t>
            </w:r>
          </w:p>
        </w:tc>
        <w:tc>
          <w:tcPr>
            <w:tcW w:w="1791" w:type="dxa"/>
            <w:noWrap w:val="0"/>
            <w:vAlign w:val="center"/>
          </w:tcPr>
          <w:p w14:paraId="0D4E2E55">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7707CA66">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0.085t/a</w:t>
            </w:r>
          </w:p>
        </w:tc>
        <w:tc>
          <w:tcPr>
            <w:tcW w:w="1057" w:type="dxa"/>
            <w:noWrap w:val="0"/>
            <w:vAlign w:val="center"/>
          </w:tcPr>
          <w:p w14:paraId="046C948C">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0.085t/a</w:t>
            </w:r>
          </w:p>
        </w:tc>
      </w:tr>
      <w:tr w14:paraId="2998C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continue"/>
            <w:noWrap w:val="0"/>
            <w:vAlign w:val="center"/>
          </w:tcPr>
          <w:p w14:paraId="1828046F">
            <w:pPr>
              <w:pStyle w:val="50"/>
              <w:spacing w:beforeLines="0" w:afterLines="0" w:line="240" w:lineRule="auto"/>
              <w:rPr>
                <w:rFonts w:hint="default" w:ascii="Times New Roman" w:hAnsi="Times New Roman" w:cs="Times New Roman"/>
                <w:snapToGrid w:val="0"/>
                <w:color w:val="auto"/>
                <w:kern w:val="21"/>
                <w:szCs w:val="21"/>
              </w:rPr>
            </w:pPr>
          </w:p>
        </w:tc>
        <w:tc>
          <w:tcPr>
            <w:tcW w:w="1437" w:type="dxa"/>
            <w:noWrap w:val="0"/>
            <w:vAlign w:val="center"/>
          </w:tcPr>
          <w:p w14:paraId="7EDDF160">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5DAB74DE">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4B93E857">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39CE0EE0">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57861945">
            <w:pPr>
              <w:pStyle w:val="50"/>
              <w:spacing w:beforeLines="0" w:afterLines="0" w:line="240" w:lineRule="auto"/>
              <w:rPr>
                <w:rFonts w:hint="default" w:ascii="Times New Roman" w:hAnsi="Times New Roman" w:cs="Times New Roman"/>
                <w:snapToGrid w:val="0"/>
                <w:color w:val="auto"/>
                <w:kern w:val="21"/>
                <w:szCs w:val="21"/>
              </w:rPr>
            </w:pPr>
          </w:p>
        </w:tc>
        <w:tc>
          <w:tcPr>
            <w:tcW w:w="1791" w:type="dxa"/>
            <w:noWrap w:val="0"/>
            <w:vAlign w:val="center"/>
          </w:tcPr>
          <w:p w14:paraId="3FF906C3">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3CF9DD30">
            <w:pPr>
              <w:pStyle w:val="50"/>
              <w:spacing w:beforeLines="0" w:afterLines="0" w:line="240" w:lineRule="auto"/>
              <w:rPr>
                <w:rFonts w:hint="default" w:ascii="Times New Roman" w:hAnsi="Times New Roman" w:cs="Times New Roman"/>
                <w:snapToGrid w:val="0"/>
                <w:color w:val="auto"/>
                <w:kern w:val="21"/>
                <w:szCs w:val="21"/>
              </w:rPr>
            </w:pPr>
          </w:p>
        </w:tc>
        <w:tc>
          <w:tcPr>
            <w:tcW w:w="1057" w:type="dxa"/>
            <w:noWrap w:val="0"/>
            <w:vAlign w:val="center"/>
          </w:tcPr>
          <w:p w14:paraId="608F6967">
            <w:pPr>
              <w:pStyle w:val="50"/>
              <w:spacing w:beforeLines="0" w:afterLines="0" w:line="240" w:lineRule="auto"/>
              <w:rPr>
                <w:rFonts w:hint="default" w:ascii="Times New Roman" w:hAnsi="Times New Roman" w:cs="Times New Roman"/>
                <w:snapToGrid w:val="0"/>
                <w:color w:val="auto"/>
                <w:kern w:val="21"/>
                <w:szCs w:val="21"/>
              </w:rPr>
            </w:pPr>
          </w:p>
        </w:tc>
      </w:tr>
      <w:tr w14:paraId="3D9E0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restart"/>
            <w:noWrap w:val="0"/>
            <w:vAlign w:val="center"/>
          </w:tcPr>
          <w:p w14:paraId="2B6EA5EC">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437" w:type="dxa"/>
            <w:noWrap w:val="0"/>
            <w:vAlign w:val="center"/>
          </w:tcPr>
          <w:p w14:paraId="12273618">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0D39BC18">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6A954B65">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0E8E6A7B">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2B5A1289">
            <w:pPr>
              <w:pStyle w:val="50"/>
              <w:spacing w:beforeLines="0" w:afterLines="0" w:line="240" w:lineRule="auto"/>
              <w:rPr>
                <w:rFonts w:hint="default" w:ascii="Times New Roman" w:hAnsi="Times New Roman" w:cs="Times New Roman"/>
                <w:snapToGrid w:val="0"/>
                <w:color w:val="auto"/>
                <w:kern w:val="21"/>
                <w:szCs w:val="21"/>
              </w:rPr>
            </w:pPr>
          </w:p>
        </w:tc>
        <w:tc>
          <w:tcPr>
            <w:tcW w:w="1791" w:type="dxa"/>
            <w:noWrap w:val="0"/>
            <w:vAlign w:val="center"/>
          </w:tcPr>
          <w:p w14:paraId="7799EA36">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2103A074">
            <w:pPr>
              <w:pStyle w:val="50"/>
              <w:spacing w:beforeLines="0" w:afterLines="0" w:line="240" w:lineRule="auto"/>
              <w:rPr>
                <w:rFonts w:hint="default" w:ascii="Times New Roman" w:hAnsi="Times New Roman" w:cs="Times New Roman"/>
                <w:snapToGrid w:val="0"/>
                <w:color w:val="auto"/>
                <w:kern w:val="21"/>
                <w:szCs w:val="21"/>
              </w:rPr>
            </w:pPr>
          </w:p>
        </w:tc>
        <w:tc>
          <w:tcPr>
            <w:tcW w:w="1057" w:type="dxa"/>
            <w:noWrap w:val="0"/>
            <w:vAlign w:val="center"/>
          </w:tcPr>
          <w:p w14:paraId="58799D79">
            <w:pPr>
              <w:pStyle w:val="50"/>
              <w:spacing w:beforeLines="0" w:afterLines="0" w:line="240" w:lineRule="auto"/>
              <w:rPr>
                <w:rFonts w:hint="default" w:ascii="Times New Roman" w:hAnsi="Times New Roman" w:cs="Times New Roman"/>
                <w:snapToGrid w:val="0"/>
                <w:color w:val="auto"/>
                <w:kern w:val="21"/>
                <w:szCs w:val="21"/>
              </w:rPr>
            </w:pPr>
          </w:p>
        </w:tc>
      </w:tr>
      <w:tr w14:paraId="122918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continue"/>
            <w:noWrap w:val="0"/>
            <w:vAlign w:val="center"/>
          </w:tcPr>
          <w:p w14:paraId="3C6E97D1">
            <w:pPr>
              <w:pStyle w:val="50"/>
              <w:spacing w:beforeLines="0" w:afterLines="0" w:line="240" w:lineRule="auto"/>
              <w:rPr>
                <w:rFonts w:hint="default" w:ascii="Times New Roman" w:hAnsi="Times New Roman" w:cs="Times New Roman"/>
                <w:snapToGrid w:val="0"/>
                <w:color w:val="auto"/>
                <w:kern w:val="21"/>
                <w:szCs w:val="21"/>
              </w:rPr>
            </w:pPr>
          </w:p>
        </w:tc>
        <w:tc>
          <w:tcPr>
            <w:tcW w:w="1437" w:type="dxa"/>
            <w:noWrap w:val="0"/>
            <w:vAlign w:val="center"/>
          </w:tcPr>
          <w:p w14:paraId="2298044B">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6ABE2E9C">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51AF88C8">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7D19ED8B">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37F09350">
            <w:pPr>
              <w:pStyle w:val="50"/>
              <w:spacing w:beforeLines="0" w:afterLines="0" w:line="240" w:lineRule="auto"/>
              <w:rPr>
                <w:rFonts w:hint="default" w:ascii="Times New Roman" w:hAnsi="Times New Roman" w:cs="Times New Roman"/>
                <w:snapToGrid w:val="0"/>
                <w:color w:val="auto"/>
                <w:kern w:val="21"/>
                <w:szCs w:val="21"/>
              </w:rPr>
            </w:pPr>
          </w:p>
        </w:tc>
        <w:tc>
          <w:tcPr>
            <w:tcW w:w="1791" w:type="dxa"/>
            <w:noWrap w:val="0"/>
            <w:vAlign w:val="center"/>
          </w:tcPr>
          <w:p w14:paraId="52157C59">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54FB5490">
            <w:pPr>
              <w:pStyle w:val="50"/>
              <w:spacing w:beforeLines="0" w:afterLines="0" w:line="240" w:lineRule="auto"/>
              <w:rPr>
                <w:rFonts w:hint="default" w:ascii="Times New Roman" w:hAnsi="Times New Roman" w:cs="Times New Roman"/>
                <w:snapToGrid w:val="0"/>
                <w:color w:val="auto"/>
                <w:kern w:val="21"/>
                <w:szCs w:val="21"/>
              </w:rPr>
            </w:pPr>
          </w:p>
        </w:tc>
        <w:tc>
          <w:tcPr>
            <w:tcW w:w="1057" w:type="dxa"/>
            <w:noWrap w:val="0"/>
            <w:vAlign w:val="center"/>
          </w:tcPr>
          <w:p w14:paraId="78C0417A">
            <w:pPr>
              <w:pStyle w:val="50"/>
              <w:spacing w:beforeLines="0" w:afterLines="0" w:line="240" w:lineRule="auto"/>
              <w:rPr>
                <w:rFonts w:hint="default" w:ascii="Times New Roman" w:hAnsi="Times New Roman" w:cs="Times New Roman"/>
                <w:snapToGrid w:val="0"/>
                <w:color w:val="auto"/>
                <w:kern w:val="21"/>
                <w:szCs w:val="21"/>
              </w:rPr>
            </w:pPr>
          </w:p>
        </w:tc>
      </w:tr>
      <w:tr w14:paraId="576CBC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restart"/>
            <w:noWrap w:val="0"/>
            <w:vAlign w:val="center"/>
          </w:tcPr>
          <w:p w14:paraId="1C521F65">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一般工业</w:t>
            </w:r>
          </w:p>
          <w:p w14:paraId="22FD0DA9">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固体废物</w:t>
            </w:r>
          </w:p>
        </w:tc>
        <w:tc>
          <w:tcPr>
            <w:tcW w:w="1437" w:type="dxa"/>
            <w:noWrap w:val="0"/>
            <w:vAlign w:val="center"/>
          </w:tcPr>
          <w:p w14:paraId="63920CA3">
            <w:pPr>
              <w:pStyle w:val="5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废钢瓶</w:t>
            </w:r>
          </w:p>
        </w:tc>
        <w:tc>
          <w:tcPr>
            <w:tcW w:w="1729" w:type="dxa"/>
            <w:noWrap w:val="0"/>
            <w:vAlign w:val="center"/>
          </w:tcPr>
          <w:p w14:paraId="702B2F33">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0CC50076">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66B2D1F2">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5840076C">
            <w:pPr>
              <w:pStyle w:val="5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10瓶/a</w:t>
            </w:r>
          </w:p>
        </w:tc>
        <w:tc>
          <w:tcPr>
            <w:tcW w:w="1791" w:type="dxa"/>
            <w:noWrap w:val="0"/>
            <w:vAlign w:val="center"/>
          </w:tcPr>
          <w:p w14:paraId="2040BF8D">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177CB5C7">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10瓶/a</w:t>
            </w:r>
          </w:p>
        </w:tc>
        <w:tc>
          <w:tcPr>
            <w:tcW w:w="1057" w:type="dxa"/>
            <w:noWrap w:val="0"/>
            <w:vAlign w:val="center"/>
          </w:tcPr>
          <w:p w14:paraId="3975ACC4">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10瓶/a</w:t>
            </w:r>
          </w:p>
        </w:tc>
      </w:tr>
      <w:tr w14:paraId="3E6C05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continue"/>
            <w:noWrap w:val="0"/>
            <w:vAlign w:val="center"/>
          </w:tcPr>
          <w:p w14:paraId="29549C24">
            <w:pPr>
              <w:pStyle w:val="50"/>
              <w:spacing w:beforeLines="0" w:afterLines="0" w:line="240" w:lineRule="auto"/>
              <w:rPr>
                <w:rFonts w:hint="default" w:ascii="Times New Roman" w:hAnsi="Times New Roman" w:cs="Times New Roman"/>
                <w:snapToGrid w:val="0"/>
                <w:color w:val="auto"/>
                <w:kern w:val="21"/>
                <w:szCs w:val="21"/>
              </w:rPr>
            </w:pPr>
          </w:p>
        </w:tc>
        <w:tc>
          <w:tcPr>
            <w:tcW w:w="1437" w:type="dxa"/>
            <w:noWrap w:val="0"/>
            <w:vAlign w:val="center"/>
          </w:tcPr>
          <w:p w14:paraId="4DD3C45B">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4AD8E897">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3C509DE5">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2278238B">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0BA474D5">
            <w:pPr>
              <w:pStyle w:val="50"/>
              <w:spacing w:beforeLines="0" w:afterLines="0" w:line="240" w:lineRule="auto"/>
              <w:rPr>
                <w:rFonts w:hint="default" w:ascii="Times New Roman" w:hAnsi="Times New Roman" w:cs="Times New Roman"/>
                <w:snapToGrid w:val="0"/>
                <w:color w:val="auto"/>
                <w:kern w:val="21"/>
                <w:szCs w:val="21"/>
              </w:rPr>
            </w:pPr>
          </w:p>
        </w:tc>
        <w:tc>
          <w:tcPr>
            <w:tcW w:w="1791" w:type="dxa"/>
            <w:noWrap w:val="0"/>
            <w:vAlign w:val="center"/>
          </w:tcPr>
          <w:p w14:paraId="119C9652">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38891718">
            <w:pPr>
              <w:pStyle w:val="50"/>
              <w:spacing w:beforeLines="0" w:afterLines="0" w:line="240" w:lineRule="auto"/>
              <w:rPr>
                <w:rFonts w:hint="default" w:ascii="Times New Roman" w:hAnsi="Times New Roman" w:cs="Times New Roman"/>
                <w:snapToGrid w:val="0"/>
                <w:color w:val="auto"/>
                <w:kern w:val="21"/>
                <w:szCs w:val="21"/>
              </w:rPr>
            </w:pPr>
          </w:p>
        </w:tc>
        <w:tc>
          <w:tcPr>
            <w:tcW w:w="1057" w:type="dxa"/>
            <w:noWrap w:val="0"/>
            <w:vAlign w:val="center"/>
          </w:tcPr>
          <w:p w14:paraId="1828F3B5">
            <w:pPr>
              <w:pStyle w:val="50"/>
              <w:spacing w:beforeLines="0" w:afterLines="0" w:line="240" w:lineRule="auto"/>
              <w:rPr>
                <w:rFonts w:hint="default" w:ascii="Times New Roman" w:hAnsi="Times New Roman" w:cs="Times New Roman"/>
                <w:snapToGrid w:val="0"/>
                <w:color w:val="auto"/>
                <w:kern w:val="21"/>
                <w:szCs w:val="21"/>
              </w:rPr>
            </w:pPr>
          </w:p>
        </w:tc>
      </w:tr>
      <w:tr w14:paraId="63D73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restart"/>
            <w:noWrap w:val="0"/>
            <w:vAlign w:val="center"/>
          </w:tcPr>
          <w:p w14:paraId="413E7715">
            <w:pPr>
              <w:pStyle w:val="50"/>
              <w:spacing w:beforeLines="0" w:afterLines="0" w:line="240" w:lineRule="auto"/>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437" w:type="dxa"/>
            <w:noWrap w:val="0"/>
            <w:vAlign w:val="center"/>
          </w:tcPr>
          <w:p w14:paraId="2AC96B3A">
            <w:pPr>
              <w:pStyle w:val="50"/>
              <w:spacing w:beforeLines="0" w:afterLines="0" w:line="240" w:lineRule="auto"/>
              <w:rPr>
                <w:rFonts w:hint="eastAsia"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废机油</w:t>
            </w:r>
          </w:p>
        </w:tc>
        <w:tc>
          <w:tcPr>
            <w:tcW w:w="1729" w:type="dxa"/>
            <w:noWrap w:val="0"/>
            <w:vAlign w:val="center"/>
          </w:tcPr>
          <w:p w14:paraId="74AFD04D">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669393B3">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7635AF19">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7C487CB0">
            <w:pPr>
              <w:pStyle w:val="50"/>
              <w:spacing w:beforeLines="0" w:afterLines="0" w:line="240" w:lineRule="auto"/>
              <w:rPr>
                <w:rFonts w:hint="default" w:ascii="Times New Roman" w:hAnsi="Times New Roman" w:eastAsia="宋体" w:cs="Times New Roman"/>
                <w:snapToGrid w:val="0"/>
                <w:color w:val="auto"/>
                <w:kern w:val="21"/>
                <w:szCs w:val="21"/>
                <w:lang w:val="en-US" w:eastAsia="zh-CN"/>
              </w:rPr>
            </w:pPr>
            <w:r>
              <w:rPr>
                <w:rFonts w:hint="eastAsia" w:ascii="Times New Roman" w:cs="Times New Roman"/>
                <w:snapToGrid w:val="0"/>
                <w:color w:val="auto"/>
                <w:kern w:val="21"/>
                <w:szCs w:val="21"/>
                <w:lang w:val="en-US" w:eastAsia="zh-CN"/>
              </w:rPr>
              <w:t>0.005t/a</w:t>
            </w:r>
          </w:p>
        </w:tc>
        <w:tc>
          <w:tcPr>
            <w:tcW w:w="1791" w:type="dxa"/>
            <w:noWrap w:val="0"/>
            <w:vAlign w:val="center"/>
          </w:tcPr>
          <w:p w14:paraId="5488DD14">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32CDAE24">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0.005t/a</w:t>
            </w:r>
          </w:p>
        </w:tc>
        <w:tc>
          <w:tcPr>
            <w:tcW w:w="1057" w:type="dxa"/>
            <w:noWrap w:val="0"/>
            <w:vAlign w:val="center"/>
          </w:tcPr>
          <w:p w14:paraId="1FF62E78">
            <w:pPr>
              <w:pStyle w:val="50"/>
              <w:spacing w:beforeLines="0" w:afterLines="0" w:line="240" w:lineRule="auto"/>
              <w:rPr>
                <w:rFonts w:hint="default" w:ascii="Times New Roman" w:hAnsi="Times New Roman" w:cs="Times New Roman"/>
                <w:snapToGrid w:val="0"/>
                <w:color w:val="auto"/>
                <w:kern w:val="21"/>
                <w:szCs w:val="21"/>
              </w:rPr>
            </w:pPr>
            <w:r>
              <w:rPr>
                <w:rFonts w:hint="eastAsia" w:ascii="Times New Roman" w:cs="Times New Roman"/>
                <w:snapToGrid w:val="0"/>
                <w:color w:val="auto"/>
                <w:kern w:val="21"/>
                <w:szCs w:val="21"/>
                <w:lang w:val="en-US" w:eastAsia="zh-CN"/>
              </w:rPr>
              <w:t>0.005t/a</w:t>
            </w:r>
          </w:p>
        </w:tc>
      </w:tr>
      <w:tr w14:paraId="6AADBF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611" w:type="dxa"/>
            <w:vMerge w:val="continue"/>
            <w:noWrap w:val="0"/>
            <w:vAlign w:val="center"/>
          </w:tcPr>
          <w:p w14:paraId="52980456">
            <w:pPr>
              <w:pStyle w:val="50"/>
              <w:spacing w:beforeLines="0" w:afterLines="0" w:line="240" w:lineRule="auto"/>
              <w:rPr>
                <w:rFonts w:hint="default" w:ascii="Times New Roman" w:hAnsi="Times New Roman" w:cs="Times New Roman"/>
                <w:snapToGrid w:val="0"/>
                <w:color w:val="auto"/>
                <w:kern w:val="21"/>
                <w:szCs w:val="21"/>
              </w:rPr>
            </w:pPr>
          </w:p>
        </w:tc>
        <w:tc>
          <w:tcPr>
            <w:tcW w:w="1437" w:type="dxa"/>
            <w:noWrap w:val="0"/>
            <w:vAlign w:val="center"/>
          </w:tcPr>
          <w:p w14:paraId="4E56E851">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1FEA8BA9">
            <w:pPr>
              <w:pStyle w:val="50"/>
              <w:spacing w:beforeLines="0" w:afterLines="0" w:line="240" w:lineRule="auto"/>
              <w:rPr>
                <w:rFonts w:hint="default" w:ascii="Times New Roman" w:hAnsi="Times New Roman" w:cs="Times New Roman"/>
                <w:snapToGrid w:val="0"/>
                <w:color w:val="auto"/>
                <w:kern w:val="21"/>
                <w:szCs w:val="21"/>
              </w:rPr>
            </w:pPr>
          </w:p>
        </w:tc>
        <w:tc>
          <w:tcPr>
            <w:tcW w:w="1296" w:type="dxa"/>
            <w:noWrap w:val="0"/>
            <w:vAlign w:val="center"/>
          </w:tcPr>
          <w:p w14:paraId="432AEBFF">
            <w:pPr>
              <w:pStyle w:val="50"/>
              <w:spacing w:beforeLines="0" w:afterLines="0" w:line="240" w:lineRule="auto"/>
              <w:rPr>
                <w:rFonts w:hint="default" w:ascii="Times New Roman" w:hAnsi="Times New Roman" w:cs="Times New Roman"/>
                <w:snapToGrid w:val="0"/>
                <w:color w:val="auto"/>
                <w:kern w:val="21"/>
                <w:szCs w:val="21"/>
              </w:rPr>
            </w:pPr>
          </w:p>
        </w:tc>
        <w:tc>
          <w:tcPr>
            <w:tcW w:w="1729" w:type="dxa"/>
            <w:noWrap w:val="0"/>
            <w:vAlign w:val="center"/>
          </w:tcPr>
          <w:p w14:paraId="374D29D8">
            <w:pPr>
              <w:pStyle w:val="50"/>
              <w:spacing w:beforeLines="0" w:afterLines="0" w:line="240" w:lineRule="auto"/>
              <w:rPr>
                <w:rFonts w:hint="default" w:ascii="Times New Roman" w:hAnsi="Times New Roman" w:cs="Times New Roman"/>
                <w:snapToGrid w:val="0"/>
                <w:color w:val="auto"/>
                <w:kern w:val="21"/>
                <w:szCs w:val="21"/>
              </w:rPr>
            </w:pPr>
          </w:p>
        </w:tc>
        <w:tc>
          <w:tcPr>
            <w:tcW w:w="1586" w:type="dxa"/>
            <w:noWrap w:val="0"/>
            <w:vAlign w:val="center"/>
          </w:tcPr>
          <w:p w14:paraId="4936477C">
            <w:pPr>
              <w:pStyle w:val="50"/>
              <w:spacing w:beforeLines="0" w:afterLines="0" w:line="240" w:lineRule="auto"/>
              <w:rPr>
                <w:rFonts w:hint="default" w:ascii="Times New Roman" w:hAnsi="Times New Roman" w:cs="Times New Roman"/>
                <w:snapToGrid w:val="0"/>
                <w:color w:val="auto"/>
                <w:kern w:val="21"/>
                <w:szCs w:val="21"/>
              </w:rPr>
            </w:pPr>
          </w:p>
        </w:tc>
        <w:tc>
          <w:tcPr>
            <w:tcW w:w="1791" w:type="dxa"/>
            <w:noWrap w:val="0"/>
            <w:vAlign w:val="center"/>
          </w:tcPr>
          <w:p w14:paraId="32332B2C">
            <w:pPr>
              <w:pStyle w:val="50"/>
              <w:spacing w:beforeLines="0" w:afterLines="0" w:line="240" w:lineRule="auto"/>
              <w:rPr>
                <w:rFonts w:hint="default" w:ascii="Times New Roman" w:hAnsi="Times New Roman" w:cs="Times New Roman"/>
                <w:snapToGrid w:val="0"/>
                <w:color w:val="auto"/>
                <w:kern w:val="21"/>
                <w:szCs w:val="21"/>
              </w:rPr>
            </w:pPr>
          </w:p>
        </w:tc>
        <w:tc>
          <w:tcPr>
            <w:tcW w:w="1816" w:type="dxa"/>
            <w:noWrap w:val="0"/>
            <w:vAlign w:val="center"/>
          </w:tcPr>
          <w:p w14:paraId="5344CF3E">
            <w:pPr>
              <w:pStyle w:val="50"/>
              <w:spacing w:beforeLines="0" w:afterLines="0" w:line="240" w:lineRule="auto"/>
              <w:rPr>
                <w:rFonts w:hint="default" w:ascii="Times New Roman" w:hAnsi="Times New Roman" w:cs="Times New Roman"/>
                <w:snapToGrid w:val="0"/>
                <w:color w:val="auto"/>
                <w:kern w:val="21"/>
                <w:szCs w:val="21"/>
              </w:rPr>
            </w:pPr>
          </w:p>
        </w:tc>
        <w:tc>
          <w:tcPr>
            <w:tcW w:w="1057" w:type="dxa"/>
            <w:noWrap w:val="0"/>
            <w:vAlign w:val="center"/>
          </w:tcPr>
          <w:p w14:paraId="4C062B62">
            <w:pPr>
              <w:pStyle w:val="50"/>
              <w:spacing w:beforeLines="0" w:afterLines="0" w:line="240" w:lineRule="auto"/>
              <w:rPr>
                <w:rFonts w:hint="default" w:ascii="Times New Roman" w:hAnsi="Times New Roman" w:cs="Times New Roman"/>
                <w:snapToGrid w:val="0"/>
                <w:color w:val="auto"/>
                <w:kern w:val="21"/>
                <w:szCs w:val="21"/>
              </w:rPr>
            </w:pPr>
          </w:p>
        </w:tc>
      </w:tr>
    </w:tbl>
    <w:p w14:paraId="35FEAA07">
      <w:pPr>
        <w:pStyle w:val="50"/>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14:paraId="720AEB88">
      <w:pPr>
        <w:rPr>
          <w:rFonts w:hint="default" w:ascii="Times New Roman" w:hAnsi="Times New Roman" w:cs="Times New Roman"/>
          <w:color w:val="auto"/>
        </w:rPr>
        <w:sectPr>
          <w:footerReference r:id="rId6" w:type="default"/>
          <w:pgSz w:w="16838" w:h="11906" w:orient="landscape"/>
          <w:pgMar w:top="1417" w:right="1417" w:bottom="1417" w:left="1417" w:header="851" w:footer="851" w:gutter="0"/>
          <w:cols w:space="720" w:num="1"/>
          <w:docGrid w:linePitch="312" w:charSpace="0"/>
        </w:sectPr>
      </w:pPr>
    </w:p>
    <w:p w14:paraId="675591E4">
      <w:pPr>
        <w:pStyle w:val="39"/>
        <w:ind w:left="0" w:leftChars="0" w:firstLine="0" w:firstLineChars="0"/>
        <w:rPr>
          <w:rFonts w:hint="default"/>
          <w:color w:val="auto"/>
        </w:rPr>
      </w:pPr>
    </w:p>
    <w:sectPr>
      <w:footerReference r:id="rId7" w:type="default"/>
      <w:pgSz w:w="11906" w:h="16838"/>
      <w:pgMar w:top="1417" w:right="1417" w:bottom="1417" w:left="1417"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0AFF" w:usb1="00007843" w:usb2="00000001" w:usb3="00000000" w:csb0="400001BF" w:csb1="DFF7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0AFF" w:usb1="40007843" w:usb2="00000001" w:usb3="00000000" w:csb0="400001BF" w:csb1="DFF7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17718">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C2E8">
    <w:pPr>
      <w:pStyle w:val="12"/>
      <w:framePr w:wrap="around" w:vAnchor="text" w:hAnchor="margin" w:xAlign="center" w:y="1"/>
      <w:rPr>
        <w:rStyle w:val="20"/>
      </w:rPr>
    </w:pPr>
    <w:r>
      <w:fldChar w:fldCharType="begin"/>
    </w:r>
    <w:r>
      <w:rPr>
        <w:rStyle w:val="20"/>
      </w:rPr>
      <w:instrText xml:space="preserve">PAGE  </w:instrText>
    </w:r>
    <w:r>
      <w:fldChar w:fldCharType="end"/>
    </w:r>
  </w:p>
  <w:p w14:paraId="5AAC66E1">
    <w:pPr>
      <w:pStyle w:val="1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12891">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9</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4227A434">
    <w:pPr>
      <w:pStyle w:val="1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BB6B">
    <w:pPr>
      <w:pStyle w:val="12"/>
      <w:framePr w:wrap="around" w:vAnchor="text" w:hAnchor="margin" w:xAlign="center"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10</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42733892">
    <w:pPr>
      <w:pStyle w:val="1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ED6BE">
    <w:pPr>
      <w:pStyle w:val="12"/>
      <w:framePr w:wrap="around" w:vAnchor="text" w:hAnchor="margin" w:xAlign="outside" w:y="1"/>
      <w:rPr>
        <w:rStyle w:val="20"/>
        <w:rFonts w:ascii="宋体" w:hAnsi="宋体"/>
        <w:sz w:val="28"/>
        <w:szCs w:val="28"/>
      </w:rPr>
    </w:pPr>
    <w:r>
      <w:rPr>
        <w:rStyle w:val="20"/>
        <w:rFonts w:hint="eastAsia" w:ascii="宋体" w:hAnsi="宋体"/>
        <w:sz w:val="28"/>
        <w:szCs w:val="28"/>
      </w:rPr>
      <w:t>—</w:t>
    </w:r>
    <w:r>
      <w:rPr>
        <w:rStyle w:val="20"/>
        <w:rFonts w:hint="eastAsia" w:ascii="宋体" w:hAnsi="宋体"/>
        <w:sz w:val="20"/>
      </w:rPr>
      <w:t xml:space="preserve">  </w:t>
    </w:r>
    <w:r>
      <w:rPr>
        <w:rFonts w:ascii="宋体" w:hAnsi="宋体"/>
        <w:sz w:val="26"/>
        <w:szCs w:val="26"/>
      </w:rPr>
      <w:fldChar w:fldCharType="begin"/>
    </w:r>
    <w:r>
      <w:rPr>
        <w:rStyle w:val="20"/>
        <w:rFonts w:ascii="宋体" w:hAnsi="宋体"/>
        <w:sz w:val="26"/>
        <w:szCs w:val="26"/>
      </w:rPr>
      <w:instrText xml:space="preserve">PAGE  </w:instrText>
    </w:r>
    <w:r>
      <w:rPr>
        <w:rFonts w:ascii="宋体" w:hAnsi="宋体"/>
        <w:sz w:val="26"/>
        <w:szCs w:val="26"/>
      </w:rPr>
      <w:fldChar w:fldCharType="separate"/>
    </w:r>
    <w:r>
      <w:rPr>
        <w:rStyle w:val="20"/>
        <w:rFonts w:ascii="宋体" w:hAnsi="宋体"/>
        <w:sz w:val="26"/>
        <w:szCs w:val="26"/>
      </w:rPr>
      <w:t>11</w:t>
    </w:r>
    <w:r>
      <w:rPr>
        <w:rFonts w:ascii="宋体" w:hAnsi="宋体"/>
        <w:sz w:val="26"/>
        <w:szCs w:val="26"/>
      </w:rPr>
      <w:fldChar w:fldCharType="end"/>
    </w:r>
    <w:r>
      <w:rPr>
        <w:rStyle w:val="20"/>
        <w:rFonts w:hint="eastAsia" w:ascii="宋体" w:hAnsi="宋体"/>
        <w:sz w:val="20"/>
      </w:rPr>
      <w:t xml:space="preserve">  </w:t>
    </w:r>
    <w:r>
      <w:rPr>
        <w:rStyle w:val="20"/>
        <w:rFonts w:hint="eastAsia" w:ascii="宋体" w:hAnsi="宋体"/>
        <w:sz w:val="28"/>
        <w:szCs w:val="28"/>
      </w:rPr>
      <w:t>—</w:t>
    </w:r>
  </w:p>
  <w:p w14:paraId="18BAD836">
    <w:pPr>
      <w:pStyle w:val="1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BC0FB0"/>
    <w:multiLevelType w:val="singleLevel"/>
    <w:tmpl w:val="A5BC0FB0"/>
    <w:lvl w:ilvl="0" w:tentative="0">
      <w:start w:val="1"/>
      <w:numFmt w:val="decimal"/>
      <w:suff w:val="nothing"/>
      <w:lvlText w:val="%1、"/>
      <w:lvlJc w:val="left"/>
    </w:lvl>
  </w:abstractNum>
  <w:abstractNum w:abstractNumId="1">
    <w:nsid w:val="D822D1B0"/>
    <w:multiLevelType w:val="singleLevel"/>
    <w:tmpl w:val="D822D1B0"/>
    <w:lvl w:ilvl="0" w:tentative="0">
      <w:start w:val="1"/>
      <w:numFmt w:val="decimal"/>
      <w:suff w:val="space"/>
      <w:lvlText w:val="%1."/>
      <w:lvlJc w:val="left"/>
    </w:lvl>
  </w:abstractNum>
  <w:abstractNum w:abstractNumId="2">
    <w:nsid w:val="F1087672"/>
    <w:multiLevelType w:val="singleLevel"/>
    <w:tmpl w:val="F1087672"/>
    <w:lvl w:ilvl="0" w:tentative="0">
      <w:start w:val="1"/>
      <w:numFmt w:val="decimal"/>
      <w:suff w:val="nothing"/>
      <w:lvlText w:val="（%1）"/>
      <w:lvlJc w:val="left"/>
    </w:lvl>
  </w:abstractNum>
  <w:abstractNum w:abstractNumId="3">
    <w:nsid w:val="7044A620"/>
    <w:multiLevelType w:val="singleLevel"/>
    <w:tmpl w:val="7044A620"/>
    <w:lvl w:ilvl="0" w:tentative="0">
      <w:start w:val="1"/>
      <w:numFmt w:val="decimal"/>
      <w:suff w:val="nothing"/>
      <w:lvlText w:val="%1、"/>
      <w:lvlJc w:val="left"/>
    </w:lvl>
  </w:abstractNum>
  <w:abstractNum w:abstractNumId="4">
    <w:nsid w:val="7F7EE55C"/>
    <w:multiLevelType w:val="singleLevel"/>
    <w:tmpl w:val="7F7EE55C"/>
    <w:lvl w:ilvl="0" w:tentative="0">
      <w:start w:val="1"/>
      <w:numFmt w:val="decimal"/>
      <w:suff w:val="nothing"/>
      <w:lvlText w:val="（%1）"/>
      <w:lvlJc w:val="left"/>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mYWFlZjM1MWZkZTlkOGIyMGNiMTJjYjYwOTNhMjQ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21A9"/>
    <w:rsid w:val="00406F01"/>
    <w:rsid w:val="00416D50"/>
    <w:rsid w:val="00416FD5"/>
    <w:rsid w:val="00417772"/>
    <w:rsid w:val="00420E6A"/>
    <w:rsid w:val="00425A9E"/>
    <w:rsid w:val="00426D6B"/>
    <w:rsid w:val="00431E6C"/>
    <w:rsid w:val="00433CE7"/>
    <w:rsid w:val="00452738"/>
    <w:rsid w:val="00456091"/>
    <w:rsid w:val="00466321"/>
    <w:rsid w:val="00477EC3"/>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678"/>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2D48DB"/>
    <w:rsid w:val="01457570"/>
    <w:rsid w:val="015D1E09"/>
    <w:rsid w:val="01B411E5"/>
    <w:rsid w:val="025A49E7"/>
    <w:rsid w:val="02697903"/>
    <w:rsid w:val="02847D1E"/>
    <w:rsid w:val="02A05C6C"/>
    <w:rsid w:val="02D43EF8"/>
    <w:rsid w:val="02F96569"/>
    <w:rsid w:val="03674CB4"/>
    <w:rsid w:val="038F71C9"/>
    <w:rsid w:val="03EA7B21"/>
    <w:rsid w:val="041D6583"/>
    <w:rsid w:val="04281A5A"/>
    <w:rsid w:val="04447FB3"/>
    <w:rsid w:val="04564928"/>
    <w:rsid w:val="048D5674"/>
    <w:rsid w:val="049D3F16"/>
    <w:rsid w:val="04A02613"/>
    <w:rsid w:val="04D01847"/>
    <w:rsid w:val="04F85458"/>
    <w:rsid w:val="058C1C12"/>
    <w:rsid w:val="05F83EAE"/>
    <w:rsid w:val="06093262"/>
    <w:rsid w:val="063E7D85"/>
    <w:rsid w:val="067C1866"/>
    <w:rsid w:val="07293586"/>
    <w:rsid w:val="07295285"/>
    <w:rsid w:val="07636392"/>
    <w:rsid w:val="07770C56"/>
    <w:rsid w:val="07F7156F"/>
    <w:rsid w:val="082D0FA0"/>
    <w:rsid w:val="08356082"/>
    <w:rsid w:val="084636A7"/>
    <w:rsid w:val="08D47FCA"/>
    <w:rsid w:val="092217DD"/>
    <w:rsid w:val="093A7294"/>
    <w:rsid w:val="0A263993"/>
    <w:rsid w:val="0A2D3AC2"/>
    <w:rsid w:val="0A8C6210"/>
    <w:rsid w:val="0A9672FD"/>
    <w:rsid w:val="0AA20101"/>
    <w:rsid w:val="0AA755DF"/>
    <w:rsid w:val="0B120D44"/>
    <w:rsid w:val="0B5560BC"/>
    <w:rsid w:val="0B6B2F9C"/>
    <w:rsid w:val="0BD27BF6"/>
    <w:rsid w:val="0C3B3C7D"/>
    <w:rsid w:val="0CAB2EAE"/>
    <w:rsid w:val="0D196E51"/>
    <w:rsid w:val="0D590C47"/>
    <w:rsid w:val="0D621C7D"/>
    <w:rsid w:val="0DC90E18"/>
    <w:rsid w:val="0DE325EB"/>
    <w:rsid w:val="0DF252F7"/>
    <w:rsid w:val="0E73034D"/>
    <w:rsid w:val="0E903615"/>
    <w:rsid w:val="0EA3277B"/>
    <w:rsid w:val="0EB417B8"/>
    <w:rsid w:val="0F074FF1"/>
    <w:rsid w:val="0F13775A"/>
    <w:rsid w:val="0F5F45FE"/>
    <w:rsid w:val="0F9A112B"/>
    <w:rsid w:val="0FB014A1"/>
    <w:rsid w:val="0FC76D9A"/>
    <w:rsid w:val="0FE47326"/>
    <w:rsid w:val="106D2F64"/>
    <w:rsid w:val="1090632E"/>
    <w:rsid w:val="10A40FC2"/>
    <w:rsid w:val="10B63710"/>
    <w:rsid w:val="10F10820"/>
    <w:rsid w:val="111C2F7A"/>
    <w:rsid w:val="11665CA1"/>
    <w:rsid w:val="11E905CC"/>
    <w:rsid w:val="12486A9B"/>
    <w:rsid w:val="133933F3"/>
    <w:rsid w:val="13951726"/>
    <w:rsid w:val="140000F8"/>
    <w:rsid w:val="14396509"/>
    <w:rsid w:val="145E3667"/>
    <w:rsid w:val="147E7FA1"/>
    <w:rsid w:val="14DD2C3C"/>
    <w:rsid w:val="150334F1"/>
    <w:rsid w:val="15A94F1C"/>
    <w:rsid w:val="15BE3DA7"/>
    <w:rsid w:val="16087E1D"/>
    <w:rsid w:val="16A46254"/>
    <w:rsid w:val="16FC26C3"/>
    <w:rsid w:val="172A2AF5"/>
    <w:rsid w:val="17701D14"/>
    <w:rsid w:val="17735226"/>
    <w:rsid w:val="17E44EC0"/>
    <w:rsid w:val="1816180F"/>
    <w:rsid w:val="189F624C"/>
    <w:rsid w:val="18CD45C3"/>
    <w:rsid w:val="18F44AD3"/>
    <w:rsid w:val="19574E5B"/>
    <w:rsid w:val="1960657D"/>
    <w:rsid w:val="199F1E1D"/>
    <w:rsid w:val="1A1C66C0"/>
    <w:rsid w:val="1A330456"/>
    <w:rsid w:val="1A3A17E5"/>
    <w:rsid w:val="1A42393B"/>
    <w:rsid w:val="1A9C023A"/>
    <w:rsid w:val="1AAA501F"/>
    <w:rsid w:val="1AAD45DE"/>
    <w:rsid w:val="1B046F80"/>
    <w:rsid w:val="1B3267B5"/>
    <w:rsid w:val="1B40161D"/>
    <w:rsid w:val="1B441859"/>
    <w:rsid w:val="1B6606B1"/>
    <w:rsid w:val="1B6A5FF8"/>
    <w:rsid w:val="1BCA6E1F"/>
    <w:rsid w:val="1C5E7925"/>
    <w:rsid w:val="1CA9597E"/>
    <w:rsid w:val="1CFD070F"/>
    <w:rsid w:val="1D517F5E"/>
    <w:rsid w:val="1D5F6196"/>
    <w:rsid w:val="1D6132A5"/>
    <w:rsid w:val="1D8E56D5"/>
    <w:rsid w:val="1E2B1334"/>
    <w:rsid w:val="1E3E0920"/>
    <w:rsid w:val="1E4744D0"/>
    <w:rsid w:val="1E7A43DA"/>
    <w:rsid w:val="1F3B5E87"/>
    <w:rsid w:val="1F962B2D"/>
    <w:rsid w:val="1F98608D"/>
    <w:rsid w:val="1FC23B2C"/>
    <w:rsid w:val="1FE7539E"/>
    <w:rsid w:val="200F7270"/>
    <w:rsid w:val="20671BE0"/>
    <w:rsid w:val="20794B6F"/>
    <w:rsid w:val="20963CB8"/>
    <w:rsid w:val="20A81A1B"/>
    <w:rsid w:val="20B07FB6"/>
    <w:rsid w:val="20B646FB"/>
    <w:rsid w:val="20F10CE7"/>
    <w:rsid w:val="213B74B1"/>
    <w:rsid w:val="215A2310"/>
    <w:rsid w:val="21DE318A"/>
    <w:rsid w:val="21EF5B80"/>
    <w:rsid w:val="220A4192"/>
    <w:rsid w:val="221F0585"/>
    <w:rsid w:val="22576990"/>
    <w:rsid w:val="22580E63"/>
    <w:rsid w:val="225C2514"/>
    <w:rsid w:val="226F1B0F"/>
    <w:rsid w:val="22F47480"/>
    <w:rsid w:val="238748A3"/>
    <w:rsid w:val="23904B06"/>
    <w:rsid w:val="23D8788D"/>
    <w:rsid w:val="23DE1C48"/>
    <w:rsid w:val="240210CD"/>
    <w:rsid w:val="240F646C"/>
    <w:rsid w:val="24A00C73"/>
    <w:rsid w:val="24BF09F7"/>
    <w:rsid w:val="252D53FE"/>
    <w:rsid w:val="25460C9F"/>
    <w:rsid w:val="25B04413"/>
    <w:rsid w:val="25B82157"/>
    <w:rsid w:val="25CE66F2"/>
    <w:rsid w:val="25EC2D81"/>
    <w:rsid w:val="271A77A2"/>
    <w:rsid w:val="277057A2"/>
    <w:rsid w:val="278D7F73"/>
    <w:rsid w:val="27EE03BB"/>
    <w:rsid w:val="282160CF"/>
    <w:rsid w:val="287809C1"/>
    <w:rsid w:val="28DE0721"/>
    <w:rsid w:val="28F75842"/>
    <w:rsid w:val="29206EB8"/>
    <w:rsid w:val="29595666"/>
    <w:rsid w:val="29874881"/>
    <w:rsid w:val="299A0BED"/>
    <w:rsid w:val="29D57D43"/>
    <w:rsid w:val="29E325E0"/>
    <w:rsid w:val="2A050D7D"/>
    <w:rsid w:val="2A2A3F16"/>
    <w:rsid w:val="2A452503"/>
    <w:rsid w:val="2B0A7301"/>
    <w:rsid w:val="2B5C7D37"/>
    <w:rsid w:val="2B7D6FA8"/>
    <w:rsid w:val="2B9B3F1D"/>
    <w:rsid w:val="2BA936A8"/>
    <w:rsid w:val="2BD5328A"/>
    <w:rsid w:val="2BEA4F26"/>
    <w:rsid w:val="2C01436E"/>
    <w:rsid w:val="2C315A5A"/>
    <w:rsid w:val="2C4B1C25"/>
    <w:rsid w:val="2C8230EB"/>
    <w:rsid w:val="2C8830ED"/>
    <w:rsid w:val="2D0B1EF0"/>
    <w:rsid w:val="2D6A3D37"/>
    <w:rsid w:val="2D9E56F5"/>
    <w:rsid w:val="2E0E6785"/>
    <w:rsid w:val="2E667F96"/>
    <w:rsid w:val="2E8226AB"/>
    <w:rsid w:val="2EFE0BDB"/>
    <w:rsid w:val="2F2324AC"/>
    <w:rsid w:val="2F403588"/>
    <w:rsid w:val="2F553B79"/>
    <w:rsid w:val="2F747E99"/>
    <w:rsid w:val="2FB436EA"/>
    <w:rsid w:val="2FD065E6"/>
    <w:rsid w:val="2FD96870"/>
    <w:rsid w:val="2FE74E60"/>
    <w:rsid w:val="302C6A9B"/>
    <w:rsid w:val="30580BC9"/>
    <w:rsid w:val="309F63EE"/>
    <w:rsid w:val="30C97D9A"/>
    <w:rsid w:val="30FB63A7"/>
    <w:rsid w:val="311A24BA"/>
    <w:rsid w:val="311E2ED7"/>
    <w:rsid w:val="315619EE"/>
    <w:rsid w:val="315C449C"/>
    <w:rsid w:val="317F2A03"/>
    <w:rsid w:val="31985C7B"/>
    <w:rsid w:val="31B82709"/>
    <w:rsid w:val="31D05482"/>
    <w:rsid w:val="31D11190"/>
    <w:rsid w:val="323B50DC"/>
    <w:rsid w:val="32400B34"/>
    <w:rsid w:val="3271175B"/>
    <w:rsid w:val="329E6876"/>
    <w:rsid w:val="32E55E4E"/>
    <w:rsid w:val="332008FE"/>
    <w:rsid w:val="333015F2"/>
    <w:rsid w:val="333078E7"/>
    <w:rsid w:val="334B6320"/>
    <w:rsid w:val="33A930DF"/>
    <w:rsid w:val="33D934D4"/>
    <w:rsid w:val="33ED76EE"/>
    <w:rsid w:val="33FE2F6A"/>
    <w:rsid w:val="34073C4F"/>
    <w:rsid w:val="340E07E5"/>
    <w:rsid w:val="34235BF7"/>
    <w:rsid w:val="34AF0316"/>
    <w:rsid w:val="350514DD"/>
    <w:rsid w:val="358C5FA8"/>
    <w:rsid w:val="35C15DF1"/>
    <w:rsid w:val="35DF52F8"/>
    <w:rsid w:val="36074A7F"/>
    <w:rsid w:val="36923549"/>
    <w:rsid w:val="36B75FBF"/>
    <w:rsid w:val="36BD0C45"/>
    <w:rsid w:val="374A7E2E"/>
    <w:rsid w:val="37E00298"/>
    <w:rsid w:val="388F2287"/>
    <w:rsid w:val="38B302F9"/>
    <w:rsid w:val="38F12CD3"/>
    <w:rsid w:val="38F94775"/>
    <w:rsid w:val="390841E9"/>
    <w:rsid w:val="392971ED"/>
    <w:rsid w:val="39325651"/>
    <w:rsid w:val="3A241DD5"/>
    <w:rsid w:val="3A3204AB"/>
    <w:rsid w:val="3A872856"/>
    <w:rsid w:val="3A8F6567"/>
    <w:rsid w:val="3B3763D1"/>
    <w:rsid w:val="3B91083E"/>
    <w:rsid w:val="3C2F6E1E"/>
    <w:rsid w:val="3C4F64BA"/>
    <w:rsid w:val="3C81109D"/>
    <w:rsid w:val="3C9D5A88"/>
    <w:rsid w:val="3CA879DD"/>
    <w:rsid w:val="3CB55073"/>
    <w:rsid w:val="3CCF12CA"/>
    <w:rsid w:val="3CDA245A"/>
    <w:rsid w:val="3D08403F"/>
    <w:rsid w:val="3D0A0CB0"/>
    <w:rsid w:val="3D1E06B7"/>
    <w:rsid w:val="3D2765AD"/>
    <w:rsid w:val="3D4D4229"/>
    <w:rsid w:val="3D874491"/>
    <w:rsid w:val="3D8C47B0"/>
    <w:rsid w:val="3DEF4CB5"/>
    <w:rsid w:val="3DF21BD7"/>
    <w:rsid w:val="3E146CF8"/>
    <w:rsid w:val="3E78780A"/>
    <w:rsid w:val="3EDA0523"/>
    <w:rsid w:val="3F78396D"/>
    <w:rsid w:val="3FA51E85"/>
    <w:rsid w:val="3FBD063E"/>
    <w:rsid w:val="407A6407"/>
    <w:rsid w:val="40F5742A"/>
    <w:rsid w:val="41356EE3"/>
    <w:rsid w:val="416B22B2"/>
    <w:rsid w:val="418331C2"/>
    <w:rsid w:val="41A444BF"/>
    <w:rsid w:val="4200449D"/>
    <w:rsid w:val="423A3BCC"/>
    <w:rsid w:val="423B584A"/>
    <w:rsid w:val="42434A46"/>
    <w:rsid w:val="424E57D2"/>
    <w:rsid w:val="42550C73"/>
    <w:rsid w:val="42B26C49"/>
    <w:rsid w:val="42B75BFA"/>
    <w:rsid w:val="433A6FE6"/>
    <w:rsid w:val="43480868"/>
    <w:rsid w:val="4350713C"/>
    <w:rsid w:val="436653E0"/>
    <w:rsid w:val="43C4431A"/>
    <w:rsid w:val="43EE4D5B"/>
    <w:rsid w:val="44B951CC"/>
    <w:rsid w:val="44CD14E0"/>
    <w:rsid w:val="44F20B0B"/>
    <w:rsid w:val="45091C30"/>
    <w:rsid w:val="452E5F4C"/>
    <w:rsid w:val="45612018"/>
    <w:rsid w:val="457572C5"/>
    <w:rsid w:val="458946E9"/>
    <w:rsid w:val="45A47C0E"/>
    <w:rsid w:val="45A71B75"/>
    <w:rsid w:val="45A77E91"/>
    <w:rsid w:val="45FB77CB"/>
    <w:rsid w:val="46201B5C"/>
    <w:rsid w:val="46577FD6"/>
    <w:rsid w:val="46AB00DD"/>
    <w:rsid w:val="46D955A7"/>
    <w:rsid w:val="47133957"/>
    <w:rsid w:val="472739AC"/>
    <w:rsid w:val="473531B0"/>
    <w:rsid w:val="475941C0"/>
    <w:rsid w:val="479876EF"/>
    <w:rsid w:val="47A07E0C"/>
    <w:rsid w:val="47CA7006"/>
    <w:rsid w:val="482613BF"/>
    <w:rsid w:val="484A740F"/>
    <w:rsid w:val="4870272E"/>
    <w:rsid w:val="48770CFE"/>
    <w:rsid w:val="49063D8E"/>
    <w:rsid w:val="490B0830"/>
    <w:rsid w:val="49774462"/>
    <w:rsid w:val="49DA6802"/>
    <w:rsid w:val="49DC7715"/>
    <w:rsid w:val="4A023139"/>
    <w:rsid w:val="4A31675B"/>
    <w:rsid w:val="4A7B576F"/>
    <w:rsid w:val="4AF561A9"/>
    <w:rsid w:val="4C4A0649"/>
    <w:rsid w:val="4C7E5ECA"/>
    <w:rsid w:val="4C876AA5"/>
    <w:rsid w:val="4CB92004"/>
    <w:rsid w:val="4CE21C42"/>
    <w:rsid w:val="4D0E00FB"/>
    <w:rsid w:val="4D176606"/>
    <w:rsid w:val="4D8C42B0"/>
    <w:rsid w:val="4DCD34FB"/>
    <w:rsid w:val="4DEC4FB0"/>
    <w:rsid w:val="4E075D8A"/>
    <w:rsid w:val="4E2E1C93"/>
    <w:rsid w:val="4E3B1402"/>
    <w:rsid w:val="4E3E294A"/>
    <w:rsid w:val="4EC00FAD"/>
    <w:rsid w:val="4EE665B7"/>
    <w:rsid w:val="4EFA7E34"/>
    <w:rsid w:val="4F0C5C7D"/>
    <w:rsid w:val="4F9843DC"/>
    <w:rsid w:val="4FA30BEB"/>
    <w:rsid w:val="4FC62A8C"/>
    <w:rsid w:val="4FE20F0D"/>
    <w:rsid w:val="4FE51552"/>
    <w:rsid w:val="50504C4B"/>
    <w:rsid w:val="505D7372"/>
    <w:rsid w:val="509C6E7C"/>
    <w:rsid w:val="50A867A1"/>
    <w:rsid w:val="5162104E"/>
    <w:rsid w:val="51D02EF4"/>
    <w:rsid w:val="51E101BC"/>
    <w:rsid w:val="526F2A7E"/>
    <w:rsid w:val="533B4AA9"/>
    <w:rsid w:val="538C05FC"/>
    <w:rsid w:val="53A039CC"/>
    <w:rsid w:val="53A1505A"/>
    <w:rsid w:val="53B85EB2"/>
    <w:rsid w:val="53FF0DCE"/>
    <w:rsid w:val="54063E08"/>
    <w:rsid w:val="543437E8"/>
    <w:rsid w:val="54BA4CF5"/>
    <w:rsid w:val="54F73313"/>
    <w:rsid w:val="54F80955"/>
    <w:rsid w:val="54FB5845"/>
    <w:rsid w:val="553D5A09"/>
    <w:rsid w:val="55410CFA"/>
    <w:rsid w:val="555170A7"/>
    <w:rsid w:val="55747599"/>
    <w:rsid w:val="5587536D"/>
    <w:rsid w:val="559B174B"/>
    <w:rsid w:val="55CE0CF4"/>
    <w:rsid w:val="56117937"/>
    <w:rsid w:val="56B22A9C"/>
    <w:rsid w:val="573005BD"/>
    <w:rsid w:val="57AF16C2"/>
    <w:rsid w:val="57B72A76"/>
    <w:rsid w:val="57C3426C"/>
    <w:rsid w:val="57CE1F93"/>
    <w:rsid w:val="5802279B"/>
    <w:rsid w:val="58391DCC"/>
    <w:rsid w:val="587605EF"/>
    <w:rsid w:val="588743D1"/>
    <w:rsid w:val="5887701A"/>
    <w:rsid w:val="59062DB9"/>
    <w:rsid w:val="59700AD6"/>
    <w:rsid w:val="59BD32BD"/>
    <w:rsid w:val="59C0439F"/>
    <w:rsid w:val="59DD299A"/>
    <w:rsid w:val="59F6036C"/>
    <w:rsid w:val="5A007FC9"/>
    <w:rsid w:val="5A0A2A6D"/>
    <w:rsid w:val="5A2068C3"/>
    <w:rsid w:val="5A8D5F77"/>
    <w:rsid w:val="5ABE2233"/>
    <w:rsid w:val="5AD43CC1"/>
    <w:rsid w:val="5B7F484A"/>
    <w:rsid w:val="5BDF5D95"/>
    <w:rsid w:val="5BFE7528"/>
    <w:rsid w:val="5C070B92"/>
    <w:rsid w:val="5C1B287F"/>
    <w:rsid w:val="5CAA6025"/>
    <w:rsid w:val="5CDD77D2"/>
    <w:rsid w:val="5D3D64C3"/>
    <w:rsid w:val="5D427521"/>
    <w:rsid w:val="5E2467F1"/>
    <w:rsid w:val="5E3A0F34"/>
    <w:rsid w:val="5EDE4F76"/>
    <w:rsid w:val="5F182D44"/>
    <w:rsid w:val="5F1A2B43"/>
    <w:rsid w:val="5F5473DD"/>
    <w:rsid w:val="5FB837BB"/>
    <w:rsid w:val="60CC405A"/>
    <w:rsid w:val="613A4C35"/>
    <w:rsid w:val="61952D71"/>
    <w:rsid w:val="61E142CD"/>
    <w:rsid w:val="61E215D8"/>
    <w:rsid w:val="6209122E"/>
    <w:rsid w:val="62165C60"/>
    <w:rsid w:val="621B3775"/>
    <w:rsid w:val="62364782"/>
    <w:rsid w:val="62DE6052"/>
    <w:rsid w:val="62F94ED3"/>
    <w:rsid w:val="63253C81"/>
    <w:rsid w:val="6349452C"/>
    <w:rsid w:val="636113CE"/>
    <w:rsid w:val="638D7A81"/>
    <w:rsid w:val="6394356A"/>
    <w:rsid w:val="63BB4D53"/>
    <w:rsid w:val="63C61B2C"/>
    <w:rsid w:val="63D40BE9"/>
    <w:rsid w:val="63EB49E7"/>
    <w:rsid w:val="63EC25F9"/>
    <w:rsid w:val="64102431"/>
    <w:rsid w:val="64A5243A"/>
    <w:rsid w:val="64F531DE"/>
    <w:rsid w:val="65272507"/>
    <w:rsid w:val="65373578"/>
    <w:rsid w:val="66A814C4"/>
    <w:rsid w:val="671F124A"/>
    <w:rsid w:val="677A33C6"/>
    <w:rsid w:val="681F6961"/>
    <w:rsid w:val="68594AF9"/>
    <w:rsid w:val="68610A2F"/>
    <w:rsid w:val="68805514"/>
    <w:rsid w:val="68BC265B"/>
    <w:rsid w:val="6918447A"/>
    <w:rsid w:val="69316E2F"/>
    <w:rsid w:val="694E2071"/>
    <w:rsid w:val="69766163"/>
    <w:rsid w:val="697A3B33"/>
    <w:rsid w:val="69D44760"/>
    <w:rsid w:val="6A520EC7"/>
    <w:rsid w:val="6A6B7851"/>
    <w:rsid w:val="6A8F3A58"/>
    <w:rsid w:val="6ABF1CB0"/>
    <w:rsid w:val="6AF87E20"/>
    <w:rsid w:val="6B322639"/>
    <w:rsid w:val="6B7E5C45"/>
    <w:rsid w:val="6BD15B78"/>
    <w:rsid w:val="6C636C38"/>
    <w:rsid w:val="6CCE7137"/>
    <w:rsid w:val="6D891282"/>
    <w:rsid w:val="6D896A6D"/>
    <w:rsid w:val="6DB34098"/>
    <w:rsid w:val="6DB545B6"/>
    <w:rsid w:val="6DBF5A1C"/>
    <w:rsid w:val="6DE02FB4"/>
    <w:rsid w:val="6DF11666"/>
    <w:rsid w:val="6E2A4841"/>
    <w:rsid w:val="6E514CED"/>
    <w:rsid w:val="6E632386"/>
    <w:rsid w:val="6EA12D56"/>
    <w:rsid w:val="6EB563D5"/>
    <w:rsid w:val="6EBC2FFB"/>
    <w:rsid w:val="6ED92677"/>
    <w:rsid w:val="6F1B0608"/>
    <w:rsid w:val="6F225983"/>
    <w:rsid w:val="6F937B50"/>
    <w:rsid w:val="6FB22BF5"/>
    <w:rsid w:val="6FD024A7"/>
    <w:rsid w:val="6FFC5590"/>
    <w:rsid w:val="702E0619"/>
    <w:rsid w:val="706202C3"/>
    <w:rsid w:val="706D1DD0"/>
    <w:rsid w:val="70803526"/>
    <w:rsid w:val="70856B87"/>
    <w:rsid w:val="70BF49B7"/>
    <w:rsid w:val="70D527EE"/>
    <w:rsid w:val="70F116CB"/>
    <w:rsid w:val="715B5300"/>
    <w:rsid w:val="71C805F9"/>
    <w:rsid w:val="71D27F8A"/>
    <w:rsid w:val="71F361F1"/>
    <w:rsid w:val="723A43B3"/>
    <w:rsid w:val="72553024"/>
    <w:rsid w:val="73075151"/>
    <w:rsid w:val="73122968"/>
    <w:rsid w:val="731F5D5E"/>
    <w:rsid w:val="733C4C78"/>
    <w:rsid w:val="73C51AD5"/>
    <w:rsid w:val="73EE1801"/>
    <w:rsid w:val="741E793C"/>
    <w:rsid w:val="745E3944"/>
    <w:rsid w:val="74684BCE"/>
    <w:rsid w:val="74B45100"/>
    <w:rsid w:val="74B50FDE"/>
    <w:rsid w:val="750A2943"/>
    <w:rsid w:val="752C0E9F"/>
    <w:rsid w:val="752D075F"/>
    <w:rsid w:val="753037A5"/>
    <w:rsid w:val="75486FD4"/>
    <w:rsid w:val="76294EAC"/>
    <w:rsid w:val="7635099D"/>
    <w:rsid w:val="77762421"/>
    <w:rsid w:val="777D0172"/>
    <w:rsid w:val="77B56B1F"/>
    <w:rsid w:val="780F09F4"/>
    <w:rsid w:val="78126A72"/>
    <w:rsid w:val="78A90480"/>
    <w:rsid w:val="78D32F84"/>
    <w:rsid w:val="7A1C6773"/>
    <w:rsid w:val="7A364017"/>
    <w:rsid w:val="7A8265E1"/>
    <w:rsid w:val="7ACD1093"/>
    <w:rsid w:val="7AD17D0A"/>
    <w:rsid w:val="7B144F61"/>
    <w:rsid w:val="7B3321B7"/>
    <w:rsid w:val="7B686D42"/>
    <w:rsid w:val="7B733820"/>
    <w:rsid w:val="7B841746"/>
    <w:rsid w:val="7BC41161"/>
    <w:rsid w:val="7BC65BA9"/>
    <w:rsid w:val="7BDA0D48"/>
    <w:rsid w:val="7BDC4FFB"/>
    <w:rsid w:val="7C05781A"/>
    <w:rsid w:val="7C6C5AC7"/>
    <w:rsid w:val="7CC6544B"/>
    <w:rsid w:val="7CDC7BCB"/>
    <w:rsid w:val="7CED2F62"/>
    <w:rsid w:val="7D0239FF"/>
    <w:rsid w:val="7D2D35D5"/>
    <w:rsid w:val="7D5E40CD"/>
    <w:rsid w:val="7DA17624"/>
    <w:rsid w:val="7DAA00E5"/>
    <w:rsid w:val="7DCD56F2"/>
    <w:rsid w:val="7E101373"/>
    <w:rsid w:val="7E5059B3"/>
    <w:rsid w:val="7E74183B"/>
    <w:rsid w:val="7EC87CF0"/>
    <w:rsid w:val="7ED8296D"/>
    <w:rsid w:val="7F001CE7"/>
    <w:rsid w:val="7F5434CC"/>
    <w:rsid w:val="7FBF7068"/>
    <w:rsid w:val="7FE47E50"/>
    <w:rsid w:val="7FF92D4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spacing w:line="360" w:lineRule="auto"/>
      <w:ind w:firstLine="420" w:firstLineChars="200"/>
    </w:pPr>
    <w:rPr>
      <w:rFonts w:ascii="宋体" w:hAnsi="宋体"/>
      <w:kern w:val="0"/>
      <w:sz w:val="24"/>
    </w:rPr>
  </w:style>
  <w:style w:type="paragraph" w:styleId="4">
    <w:name w:val="Body Text First Indent 2"/>
    <w:basedOn w:val="5"/>
    <w:next w:val="6"/>
    <w:qFormat/>
    <w:uiPriority w:val="0"/>
    <w:pPr>
      <w:ind w:firstLine="420" w:firstLineChars="200"/>
    </w:pPr>
    <w:rPr>
      <w:kern w:val="2"/>
      <w:sz w:val="21"/>
      <w:szCs w:val="24"/>
    </w:rPr>
  </w:style>
  <w:style w:type="paragraph" w:styleId="5">
    <w:name w:val="Body Text Indent"/>
    <w:basedOn w:val="1"/>
    <w:next w:val="4"/>
    <w:link w:val="29"/>
    <w:qFormat/>
    <w:uiPriority w:val="0"/>
    <w:pPr>
      <w:spacing w:after="120"/>
      <w:ind w:left="420" w:leftChars="200"/>
    </w:pPr>
    <w:rPr>
      <w:kern w:val="0"/>
      <w:sz w:val="24"/>
      <w:szCs w:val="20"/>
    </w:rPr>
  </w:style>
  <w:style w:type="paragraph" w:styleId="6">
    <w:name w:val="Body Text First Indent"/>
    <w:basedOn w:val="7"/>
    <w:next w:val="1"/>
    <w:qFormat/>
    <w:uiPriority w:val="0"/>
    <w:pPr>
      <w:ind w:firstLine="420"/>
      <w:jc w:val="center"/>
    </w:pPr>
    <w:rPr>
      <w:rFonts w:ascii="宋体" w:hAnsi="宋体"/>
      <w:szCs w:val="20"/>
    </w:rPr>
  </w:style>
  <w:style w:type="paragraph" w:styleId="7">
    <w:name w:val="Body Text"/>
    <w:basedOn w:val="1"/>
    <w:next w:val="8"/>
    <w:link w:val="30"/>
    <w:qFormat/>
    <w:uiPriority w:val="0"/>
    <w:pPr>
      <w:widowControl/>
      <w:snapToGrid w:val="0"/>
      <w:spacing w:before="60" w:after="160" w:line="259" w:lineRule="auto"/>
      <w:ind w:right="113"/>
    </w:pPr>
    <w:rPr>
      <w:kern w:val="0"/>
      <w:sz w:val="18"/>
      <w:szCs w:val="20"/>
    </w:rPr>
  </w:style>
  <w:style w:type="paragraph" w:customStyle="1" w:styleId="8">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9">
    <w:name w:val="annotation text"/>
    <w:basedOn w:val="1"/>
    <w:link w:val="31"/>
    <w:semiHidden/>
    <w:qFormat/>
    <w:uiPriority w:val="0"/>
    <w:pPr>
      <w:jc w:val="left"/>
    </w:pPr>
    <w:rPr>
      <w:kern w:val="0"/>
      <w:sz w:val="24"/>
      <w:szCs w:val="20"/>
    </w:rPr>
  </w:style>
  <w:style w:type="paragraph" w:styleId="10">
    <w:name w:val="Date"/>
    <w:basedOn w:val="1"/>
    <w:next w:val="1"/>
    <w:link w:val="32"/>
    <w:qFormat/>
    <w:uiPriority w:val="0"/>
    <w:pPr>
      <w:ind w:left="100" w:leftChars="2500"/>
    </w:pPr>
    <w:rPr>
      <w:kern w:val="0"/>
      <w:sz w:val="24"/>
      <w:szCs w:val="20"/>
    </w:rPr>
  </w:style>
  <w:style w:type="paragraph" w:styleId="11">
    <w:name w:val="Balloon Text"/>
    <w:basedOn w:val="1"/>
    <w:link w:val="33"/>
    <w:semiHidden/>
    <w:qFormat/>
    <w:uiPriority w:val="0"/>
    <w:rPr>
      <w:kern w:val="0"/>
      <w:sz w:val="18"/>
      <w:szCs w:val="20"/>
    </w:rPr>
  </w:style>
  <w:style w:type="paragraph" w:styleId="12">
    <w:name w:val="footer"/>
    <w:basedOn w:val="1"/>
    <w:next w:val="1"/>
    <w:link w:val="34"/>
    <w:qFormat/>
    <w:uiPriority w:val="99"/>
    <w:pPr>
      <w:tabs>
        <w:tab w:val="center" w:pos="4153"/>
        <w:tab w:val="right" w:pos="8306"/>
      </w:tabs>
      <w:snapToGrid w:val="0"/>
      <w:jc w:val="left"/>
    </w:pPr>
    <w:rPr>
      <w:kern w:val="0"/>
      <w:sz w:val="18"/>
      <w:szCs w:val="20"/>
    </w:rPr>
  </w:style>
  <w:style w:type="paragraph" w:styleId="13">
    <w:name w:val="header"/>
    <w:basedOn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4">
    <w:name w:val="Body Text 2"/>
    <w:basedOn w:val="1"/>
    <w:qFormat/>
    <w:uiPriority w:val="0"/>
    <w:pPr>
      <w:jc w:val="left"/>
    </w:pPr>
    <w:rPr>
      <w:rFonts w:eastAsia="楷体_GB2312"/>
      <w:sz w:val="28"/>
    </w:rPr>
  </w:style>
  <w:style w:type="paragraph" w:styleId="15">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6">
    <w:name w:val="annotation subject"/>
    <w:basedOn w:val="9"/>
    <w:next w:val="9"/>
    <w:link w:val="37"/>
    <w:semiHidden/>
    <w:qFormat/>
    <w:uiPriority w:val="0"/>
    <w:rPr>
      <w:b/>
      <w:sz w:val="24"/>
      <w:szCs w:val="20"/>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Emphasis"/>
    <w:basedOn w:val="19"/>
    <w:qFormat/>
    <w:uiPriority w:val="0"/>
    <w:rPr>
      <w:i/>
    </w:rPr>
  </w:style>
  <w:style w:type="character" w:styleId="22">
    <w:name w:val="annotation reference"/>
    <w:semiHidden/>
    <w:qFormat/>
    <w:uiPriority w:val="0"/>
    <w:rPr>
      <w:sz w:val="21"/>
    </w:rPr>
  </w:style>
  <w:style w:type="paragraph" w:customStyle="1" w:styleId="23">
    <w:name w:val="环评报告正文"/>
    <w:basedOn w:val="1"/>
    <w:qFormat/>
    <w:uiPriority w:val="0"/>
    <w:pPr>
      <w:autoSpaceDE w:val="0"/>
      <w:autoSpaceDN w:val="0"/>
      <w:adjustRightInd w:val="0"/>
      <w:snapToGrid w:val="0"/>
      <w:spacing w:line="360" w:lineRule="auto"/>
      <w:ind w:firstLine="720" w:firstLineChars="200"/>
    </w:pPr>
    <w:rPr>
      <w:rFonts w:cs="Times New Roman"/>
      <w:kern w:val="0"/>
      <w:szCs w:val="21"/>
    </w:rPr>
  </w:style>
  <w:style w:type="paragraph" w:customStyle="1" w:styleId="24">
    <w:name w:val="表内容"/>
    <w:basedOn w:val="1"/>
    <w:qFormat/>
    <w:uiPriority w:val="0"/>
    <w:pPr>
      <w:autoSpaceDE w:val="0"/>
      <w:autoSpaceDN w:val="0"/>
      <w:adjustRightInd w:val="0"/>
      <w:snapToGrid w:val="0"/>
      <w:spacing w:line="240" w:lineRule="auto"/>
      <w:ind w:firstLine="0" w:firstLineChars="0"/>
    </w:pPr>
    <w:rPr>
      <w:rFonts w:cs="Times New Roman"/>
      <w:kern w:val="0"/>
      <w:sz w:val="21"/>
      <w:szCs w:val="21"/>
    </w:rPr>
  </w:style>
  <w:style w:type="paragraph" w:customStyle="1" w:styleId="25">
    <w:name w:val="表注"/>
    <w:basedOn w:val="1"/>
    <w:next w:val="1"/>
    <w:qFormat/>
    <w:uiPriority w:val="0"/>
    <w:pPr>
      <w:autoSpaceDE w:val="0"/>
      <w:autoSpaceDN w:val="0"/>
      <w:adjustRightInd w:val="0"/>
      <w:snapToGrid w:val="0"/>
      <w:spacing w:line="240" w:lineRule="auto"/>
      <w:ind w:firstLine="720" w:firstLineChars="200"/>
    </w:pPr>
    <w:rPr>
      <w:rFonts w:hint="eastAsia" w:eastAsia="楷体" w:cs="Times New Roman"/>
      <w:b/>
      <w:bCs/>
      <w:kern w:val="0"/>
      <w:szCs w:val="21"/>
    </w:rPr>
  </w:style>
  <w:style w:type="paragraph" w:customStyle="1" w:styleId="26">
    <w:name w:val="图"/>
    <w:basedOn w:val="1"/>
    <w:qFormat/>
    <w:uiPriority w:val="0"/>
    <w:pPr>
      <w:autoSpaceDE w:val="0"/>
      <w:autoSpaceDN w:val="0"/>
      <w:adjustRightInd w:val="0"/>
      <w:snapToGrid w:val="0"/>
      <w:spacing w:line="240" w:lineRule="auto"/>
      <w:jc w:val="center"/>
    </w:pPr>
    <w:rPr>
      <w:rFonts w:cs="Times New Roman"/>
      <w:kern w:val="0"/>
      <w:szCs w:val="21"/>
    </w:rPr>
  </w:style>
  <w:style w:type="paragraph" w:customStyle="1" w:styleId="27">
    <w:name w:val="图注"/>
    <w:basedOn w:val="23"/>
    <w:next w:val="23"/>
    <w:link w:val="28"/>
    <w:qFormat/>
    <w:uiPriority w:val="0"/>
    <w:pPr>
      <w:autoSpaceDE w:val="0"/>
      <w:autoSpaceDN w:val="0"/>
      <w:adjustRightInd w:val="0"/>
      <w:snapToGrid w:val="0"/>
      <w:spacing w:line="240" w:lineRule="auto"/>
      <w:ind w:firstLine="0" w:firstLineChars="0"/>
      <w:jc w:val="center"/>
    </w:pPr>
    <w:rPr>
      <w:rFonts w:hint="eastAsia" w:eastAsia="楷体"/>
      <w:b/>
      <w:bCs/>
    </w:rPr>
  </w:style>
  <w:style w:type="character" w:customStyle="1" w:styleId="28">
    <w:name w:val="图注 Char"/>
    <w:link w:val="27"/>
    <w:qFormat/>
    <w:uiPriority w:val="0"/>
    <w:rPr>
      <w:rFonts w:hint="eastAsia" w:eastAsia="楷体"/>
      <w:b/>
      <w:bCs/>
    </w:rPr>
  </w:style>
  <w:style w:type="character" w:customStyle="1" w:styleId="29">
    <w:name w:val="正文文本缩进 Char"/>
    <w:link w:val="5"/>
    <w:semiHidden/>
    <w:qFormat/>
    <w:uiPriority w:val="0"/>
    <w:rPr>
      <w:rFonts w:ascii="Times New Roman" w:hAnsi="Times New Roman" w:eastAsia="宋体"/>
      <w:sz w:val="24"/>
    </w:rPr>
  </w:style>
  <w:style w:type="character" w:customStyle="1" w:styleId="30">
    <w:name w:val="正文文本 Char"/>
    <w:link w:val="7"/>
    <w:qFormat/>
    <w:uiPriority w:val="0"/>
    <w:rPr>
      <w:sz w:val="18"/>
    </w:rPr>
  </w:style>
  <w:style w:type="character" w:customStyle="1" w:styleId="31">
    <w:name w:val="批注文字 Char"/>
    <w:link w:val="9"/>
    <w:qFormat/>
    <w:uiPriority w:val="0"/>
    <w:rPr>
      <w:rFonts w:ascii="Times New Roman" w:hAnsi="Times New Roman" w:eastAsia="宋体"/>
      <w:sz w:val="24"/>
    </w:rPr>
  </w:style>
  <w:style w:type="character" w:customStyle="1" w:styleId="32">
    <w:name w:val="日期 Char"/>
    <w:link w:val="10"/>
    <w:qFormat/>
    <w:uiPriority w:val="0"/>
    <w:rPr>
      <w:rFonts w:ascii="Times New Roman" w:hAnsi="Times New Roman" w:eastAsia="宋体"/>
      <w:sz w:val="24"/>
    </w:rPr>
  </w:style>
  <w:style w:type="character" w:customStyle="1" w:styleId="33">
    <w:name w:val="批注框文本 Char"/>
    <w:link w:val="11"/>
    <w:semiHidden/>
    <w:qFormat/>
    <w:uiPriority w:val="0"/>
    <w:rPr>
      <w:rFonts w:ascii="Times New Roman" w:hAnsi="Times New Roman" w:eastAsia="宋体"/>
      <w:sz w:val="18"/>
    </w:rPr>
  </w:style>
  <w:style w:type="character" w:customStyle="1" w:styleId="34">
    <w:name w:val="页脚 Char"/>
    <w:link w:val="12"/>
    <w:qFormat/>
    <w:uiPriority w:val="99"/>
    <w:rPr>
      <w:sz w:val="18"/>
    </w:rPr>
  </w:style>
  <w:style w:type="character" w:customStyle="1" w:styleId="35">
    <w:name w:val="页眉 Char"/>
    <w:link w:val="13"/>
    <w:qFormat/>
    <w:uiPriority w:val="0"/>
    <w:rPr>
      <w:sz w:val="18"/>
    </w:rPr>
  </w:style>
  <w:style w:type="character" w:customStyle="1" w:styleId="36">
    <w:name w:val="普通(网站) Char"/>
    <w:link w:val="15"/>
    <w:qFormat/>
    <w:uiPriority w:val="0"/>
    <w:rPr>
      <w:rFonts w:ascii="宋体" w:hAnsi="宋体" w:eastAsia="宋体"/>
      <w:sz w:val="24"/>
    </w:rPr>
  </w:style>
  <w:style w:type="character" w:customStyle="1" w:styleId="37">
    <w:name w:val="批注主题 Char"/>
    <w:link w:val="16"/>
    <w:semiHidden/>
    <w:qFormat/>
    <w:uiPriority w:val="0"/>
    <w:rPr>
      <w:rFonts w:ascii="Times New Roman" w:hAnsi="Times New Roman" w:eastAsia="宋体"/>
      <w:b/>
      <w:kern w:val="2"/>
      <w:sz w:val="24"/>
    </w:rPr>
  </w:style>
  <w:style w:type="paragraph" w:customStyle="1" w:styleId="38">
    <w:name w:val="Default"/>
    <w:semiHidden/>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9">
    <w:name w:val="正文（缩进）"/>
    <w:basedOn w:val="40"/>
    <w:next w:val="1"/>
    <w:qFormat/>
    <w:uiPriority w:val="99"/>
    <w:pPr>
      <w:spacing w:line="360" w:lineRule="auto"/>
      <w:ind w:firstLine="480"/>
    </w:pPr>
    <w:rPr>
      <w:szCs w:val="20"/>
    </w:rPr>
  </w:style>
  <w:style w:type="paragraph" w:customStyle="1" w:styleId="40">
    <w:name w:val="正文(首行缩进)"/>
    <w:basedOn w:val="1"/>
    <w:qFormat/>
    <w:uiPriority w:val="0"/>
    <w:pPr>
      <w:spacing w:line="460" w:lineRule="exact"/>
      <w:ind w:firstLine="560" w:firstLineChars="200"/>
    </w:pPr>
    <w:rPr>
      <w:rFonts w:ascii="宋体" w:hAnsi="宋体"/>
      <w:snapToGrid w:val="0"/>
      <w:color w:val="000000"/>
      <w:kern w:val="0"/>
      <w:sz w:val="24"/>
      <w:szCs w:val="24"/>
    </w:rPr>
  </w:style>
  <w:style w:type="character" w:customStyle="1" w:styleId="41">
    <w:name w:val="font41"/>
    <w:basedOn w:val="19"/>
    <w:qFormat/>
    <w:uiPriority w:val="0"/>
    <w:rPr>
      <w:rFonts w:hint="default" w:ascii="Times New Roman" w:hAnsi="Times New Roman" w:cs="Times New Roman"/>
      <w:color w:val="000000"/>
      <w:sz w:val="21"/>
      <w:szCs w:val="21"/>
      <w:u w:val="none"/>
    </w:rPr>
  </w:style>
  <w:style w:type="character" w:customStyle="1" w:styleId="42">
    <w:name w:val="font31"/>
    <w:basedOn w:val="19"/>
    <w:qFormat/>
    <w:uiPriority w:val="0"/>
    <w:rPr>
      <w:rFonts w:hint="default" w:ascii="Times New Roman" w:hAnsi="Times New Roman" w:cs="Times New Roman"/>
      <w:color w:val="000000"/>
      <w:sz w:val="21"/>
      <w:szCs w:val="21"/>
      <w:u w:val="none"/>
      <w:vertAlign w:val="subscript"/>
    </w:rPr>
  </w:style>
  <w:style w:type="character" w:customStyle="1" w:styleId="43">
    <w:name w:val="正文1 Char"/>
    <w:link w:val="44"/>
    <w:qFormat/>
    <w:uiPriority w:val="0"/>
    <w:rPr>
      <w:rFonts w:hint="eastAsia" w:ascii="Times New Roman" w:hAnsi="Times New Roman" w:eastAsia="宋体"/>
      <w:sz w:val="24"/>
    </w:rPr>
  </w:style>
  <w:style w:type="paragraph" w:customStyle="1" w:styleId="44">
    <w:name w:val="正文1"/>
    <w:basedOn w:val="1"/>
    <w:link w:val="43"/>
    <w:qFormat/>
    <w:uiPriority w:val="0"/>
    <w:pPr>
      <w:autoSpaceDE w:val="0"/>
      <w:autoSpaceDN w:val="0"/>
      <w:adjustRightInd w:val="0"/>
      <w:snapToGrid w:val="0"/>
      <w:spacing w:line="360" w:lineRule="auto"/>
      <w:ind w:firstLine="720" w:firstLineChars="200"/>
      <w:jc w:val="left"/>
    </w:pPr>
    <w:rPr>
      <w:rFonts w:hint="eastAsia" w:ascii="Times New Roman" w:hAnsi="Times New Roman" w:eastAsia="宋体"/>
      <w:sz w:val="24"/>
    </w:rPr>
  </w:style>
  <w:style w:type="character" w:customStyle="1" w:styleId="45">
    <w:name w:val="页脚 字符"/>
    <w:basedOn w:val="19"/>
    <w:qFormat/>
    <w:uiPriority w:val="99"/>
  </w:style>
  <w:style w:type="character" w:customStyle="1" w:styleId="46">
    <w:name w:val="批注文字 字符1"/>
    <w:semiHidden/>
    <w:qFormat/>
    <w:uiPriority w:val="0"/>
    <w:rPr>
      <w:rFonts w:ascii="Times New Roman" w:hAnsi="Times New Roman" w:eastAsia="宋体"/>
      <w:sz w:val="24"/>
    </w:rPr>
  </w:style>
  <w:style w:type="character" w:customStyle="1" w:styleId="47">
    <w:name w:val="正文文本 字符1"/>
    <w:semiHidden/>
    <w:qFormat/>
    <w:uiPriority w:val="0"/>
    <w:rPr>
      <w:rFonts w:ascii="Times New Roman" w:hAnsi="Times New Roman" w:eastAsia="宋体"/>
      <w:sz w:val="24"/>
    </w:rPr>
  </w:style>
  <w:style w:type="character" w:customStyle="1" w:styleId="48">
    <w:name w:val="日期 字符"/>
    <w:semiHidden/>
    <w:qFormat/>
    <w:uiPriority w:val="0"/>
    <w:rPr>
      <w:rFonts w:ascii="Times New Roman" w:hAnsi="Times New Roman" w:eastAsia="宋体"/>
      <w:sz w:val="24"/>
    </w:rPr>
  </w:style>
  <w:style w:type="character" w:customStyle="1" w:styleId="49">
    <w:name w:val="表格 Char"/>
    <w:link w:val="50"/>
    <w:qFormat/>
    <w:uiPriority w:val="0"/>
    <w:rPr>
      <w:rFonts w:ascii="宋体"/>
      <w:sz w:val="21"/>
    </w:rPr>
  </w:style>
  <w:style w:type="paragraph" w:customStyle="1" w:styleId="50">
    <w:name w:val="表格"/>
    <w:basedOn w:val="1"/>
    <w:next w:val="14"/>
    <w:link w:val="49"/>
    <w:qFormat/>
    <w:uiPriority w:val="0"/>
    <w:pPr>
      <w:adjustRightInd w:val="0"/>
      <w:snapToGrid w:val="0"/>
      <w:spacing w:beforeLines="10" w:afterLines="10" w:line="259" w:lineRule="auto"/>
      <w:jc w:val="center"/>
    </w:pPr>
    <w:rPr>
      <w:rFonts w:ascii="宋体"/>
      <w:kern w:val="0"/>
      <w:szCs w:val="20"/>
    </w:rPr>
  </w:style>
  <w:style w:type="paragraph" w:customStyle="1" w:styleId="51">
    <w:name w:val="表 正文"/>
    <w:basedOn w:val="1"/>
    <w:qFormat/>
    <w:uiPriority w:val="0"/>
    <w:pPr>
      <w:spacing w:line="360" w:lineRule="auto"/>
      <w:ind w:firstLine="200" w:firstLineChars="200"/>
    </w:pPr>
    <w:rPr>
      <w:sz w:val="24"/>
    </w:rPr>
  </w:style>
  <w:style w:type="paragraph" w:customStyle="1" w:styleId="52">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4">
    <w:name w:val="Date1"/>
    <w:basedOn w:val="1"/>
    <w:next w:val="1"/>
    <w:qFormat/>
    <w:uiPriority w:val="0"/>
    <w:pPr>
      <w:adjustRightInd w:val="0"/>
      <w:jc w:val="left"/>
      <w:textAlignment w:val="baseline"/>
    </w:pPr>
    <w:rPr>
      <w:rFonts w:ascii="宋体" w:hAnsi="宋体"/>
      <w:sz w:val="28"/>
      <w:szCs w:val="20"/>
    </w:rPr>
  </w:style>
  <w:style w:type="paragraph" w:customStyle="1" w:styleId="55">
    <w:name w:val="夏氏正文"/>
    <w:basedOn w:val="1"/>
    <w:qFormat/>
    <w:uiPriority w:val="0"/>
    <w:pPr>
      <w:widowControl/>
      <w:adjustRightInd w:val="0"/>
      <w:snapToGrid w:val="0"/>
      <w:spacing w:line="360" w:lineRule="auto"/>
      <w:ind w:firstLine="482"/>
    </w:pPr>
    <w:rPr>
      <w:rFonts w:ascii="Times New Roman"/>
      <w:szCs w:val="24"/>
    </w:rPr>
  </w:style>
  <w:style w:type="paragraph" w:customStyle="1" w:styleId="56">
    <w:name w:val="正文12"/>
    <w:basedOn w:val="1"/>
    <w:qFormat/>
    <w:uiPriority w:val="0"/>
    <w:pPr>
      <w:adjustRightInd w:val="0"/>
      <w:snapToGrid w:val="0"/>
      <w:spacing w:line="360" w:lineRule="auto"/>
      <w:ind w:firstLine="200" w:firstLineChars="200"/>
      <w:jc w:val="left"/>
    </w:pPr>
    <w:rPr>
      <w:kern w:val="0"/>
      <w:szCs w:val="21"/>
    </w:rPr>
  </w:style>
  <w:style w:type="table" w:customStyle="1" w:styleId="57">
    <w:name w:val="Table Normal"/>
    <w:unhideWhenUsed/>
    <w:qFormat/>
    <w:uiPriority w:val="0"/>
    <w:tblPr>
      <w:tblCellMar>
        <w:top w:w="0" w:type="dxa"/>
        <w:left w:w="0" w:type="dxa"/>
        <w:bottom w:w="0" w:type="dxa"/>
        <w:right w:w="0" w:type="dxa"/>
      </w:tblCellMar>
    </w:tblPr>
  </w:style>
  <w:style w:type="paragraph" w:customStyle="1" w:styleId="58">
    <w:name w:val="正文文本缩进1"/>
    <w:basedOn w:val="1"/>
    <w:qFormat/>
    <w:uiPriority w:val="0"/>
    <w:pPr>
      <w:autoSpaceDE w:val="0"/>
      <w:autoSpaceDN w:val="0"/>
      <w:adjustRightInd w:val="0"/>
      <w:spacing w:line="360" w:lineRule="auto"/>
      <w:ind w:firstLine="480" w:firstLineChars="200"/>
    </w:pPr>
    <w:rPr>
      <w:rFonts w:ascii="宋体" w:hAnsi="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extobjs>
    <extobj name="ECB019B1-382A-4266-B25C-5B523AA43C14-1">
      <extobjdata type="ECB019B1-382A-4266-B25C-5B523AA43C14" data="ewoJIkZpbGVJZCIgOiAiMzUwNzgzODgyMzk1IiwKCSJHcm91cElkIiA6ICIyMjkzMTU2MjUiLAoJIkltYWdlIiA6ICJpVkJPUncwS0dnb0FBQUFOU1VoRVVnQUFBLzBBQUFHekNBWUFBQUI5OG5kVkFBQUFBWE5TUjBJQXJzNGM2UUFBSUFCSlJFRlVlSnpzM1hsOEZFWCsvL0YzOVNRUTdzT0FvS3dnSWlCb3lFeEV4QU1WcjlWMThRUjEvWUxYcXV0dlBSYThzaW9nWHVpNm5JcW9pQUlxS0NJcUlPQUZJZ3FMbUV3T0NLZUNFTGtGSW9Fa1pLYnI5MGN5czVsa0F1Rk15TDZlandjUG1PN3FudW9ocWVsUFY5V25K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RBc2NEcjlUN2c5WG83SGNiempmRjZ2ZGNmd0NIRzYvVTJPVnp2RHdBQXFwYVl5cTRBQUFEL3k0d3hReVg5UTFKNmFKdlA1L3V6dGJibXZvNXpYVGNqUFQxOVpaVHpuZSs2N29wb2I5V2hRNGZqYTlhczJVTFNxY1lZbjZRa1NUNUpHeVdkZGlqWEFRQUFxaWFDZmdEQVVkV2hRNGU2Tld2V1RQTDcvUXNrRlZaMmZhcW90eVhWVXptZmp6R21qakhtRVVuLzN0K0pmRDdmSDYyMXIwbzYwUmhUby9SK2EyMnVwQjJTSEVsdWFMdlg2NTFnak9sZHptbi9uSnFhT3FQa2h2YnQyeDlYcTFhdFp5VDFrQlF2NlJkSmIvbjkvbjlMQ3U2dm5nQUE0TWdnNkFjQUhGVTFhOVk4emhqempkZnJYZXU2N2dScjdheEFJTEEyS3l2ck4vRVFvS1NCZnIvL2hXZzdmRDdmdHBLdkV4TVRMelRHaEw3VGF6dU9jNnJYNjcyaytIV01NY2FWdEVqU0JtdnRlY2FZemRiYXh3b0xDMWNzV2JJa1c1S044amJ4MWxwWDBzZWxkeGhqTnBaODNiNTkrK05xMTY2OVNOSXAxdHB2akRGZldHc3ZOOGE4NFBWNlQvUDcvYmNkMktVREFJRERoYUFmQUZBcGpER3RQQjdQQUd2dFF4NlBKek14TVRIRFdwdGlqSm1ibHBhMnFyTHJkeVQ1Zkw0RVNRbVNaSzAxa2pyN2ZMNy9zOWJtKy8zK0tRZDZQbVBNKzVMcUZwK3Z0cVRiSk4waVNhN3IzcE9XbHRZbVZOYnI5WDVscmMzMSsvMWY3ZWUweDBuYTV2ZjdiOWpmKzllcVZldGZrazZSOUtqZjczOUpranAyN05pNFpzMmFQeGhqYmsxTVRCeVRscGIyL1lGZUZ3QUFPSFFFL1FDQVNtT3RsVEdtanFTekpYVnhIS2UzcEp6RXhNUk1ZOHpydTNidG1yRjY5ZXFDU3E3bWtYQ2RwSUdTWkl5UnBENlMraGhqZnBNVUN2bzdKQ1ltWGxQTzhSSEQ5UDErZjdQUXYzMCszM0xYZGQ5TVMwdmI3OUQvZlRIR3hGdHJ0KzZ2WEZKU1VnTnJiVzlyN1pyaW9meVNwS1ZMbDI3MytYelBTWHJMY1p4YkpSSDBBd0JRQ1FqNkFRQ1Z5dHJ3eUhKanJhMGxxWmJqT00wa1hWcXZYcjF0WHE5M2xqSG13MEFnc05KYXV5VXpNM05INWRYMjhFaE5UWDIyVmF0V0wwaFM0OGFOY3lVOXZIMzc5dGRpWW1KS0RyTy8wUmh6WFRtbnFGUHlSV0ppNHFuR21KYkZMeU9HOS92OS9qa3FNVmUvbUpPUWtOQTBKaWFtV1RBWWJPWTR6dkhCWUhCcVJrYkc3aEpsNG8weEtmdTdGbXR0ZDBteGttYW8xRFNCL1B6OFdYRnhjWkowL3Y3T0F3QUFqZ3lDZmdDbzRoSVRFMXM1anRPK3N1dHh1RmhybTRiK1hkekxIZHBlNXQvR21IaEp2YTIxdlR3ZXoycEpLeElURTFOYzEvMDZJeU5qMFZHcjlPRVhXTHQyYlVDU0dqZHVISHFkWDJML0U1SlMvSDcvajlFTzlucTkvUnpIV1JCNjdUak9iZGJhQjZXeXcvczdkZXIwWjQvSGM2ZTE5bmhqelBHU1RwVVVGeE1UczFtU1BCNlBKT1U0ampOZlVpam9qNUZVMzFyYjJ1djF2aWtwenhqemMyRmg0YWVabVprL2w2eUx0YmFqTVViVzJzelM5Y3pLeXRyazgvbHlWRFQwUHlKUklBQUFPRHJNL29zQUFDckw2YWVmZmtwc2JPeEVTVzBydXk2SGl6SEdrVlIvWDJWS1BnQW9QaWEwM1VvS0dHTnlYTmY5eVJnenJxQ2c0TjJzckt6Y0kxWGZJODNuOHdVay9TTTFOZlVWU2ZKNnZaMnN0U2RYNUZpUHh6TTNKU1VscDlUNUlvYjNkK3JVNlR6SGNlNld0TVVZczFuU0hkYmE3ZGJhZjNnOG5zMDVPVG1iUzAraDZOQ2hRN080dUxpSVpIMlNWSnpZNzFtLzN6OHd0TTNyOWI1cWpMblhXbnUxMysrZlZ2b1lyOWU3MGhoejZ1N2R1K3V2V0xGaVYwV3VDd0FBSEQ3MDlBTkFGUllURS9NSFk4eEoxdHI2eHBndDF0cjgvUjlWdFZsclk0d3grd3o2b3h3VER2eU5NWVdTZmpQR1pGdHJmeTgxSlA1WUZldjFlaThvRHZiUGRoem5yL3Y2dnk1K2NGSXJHQXg2azVLUzFyaXUyN25FN29qaC9jRmdjTDNmNys4VDJ1bjFlaStYbEp1V2xyYTR2UE5uWldWdFMwcEthaUlwSnljbng2bGJ0KzVKeHBpYkpEMW1qQm5nOC9uV3BxYW12aDE2UDBseVhUZHFmWTB4K1pKVXQyN2RtcElJK2dFQU9Nb0krZ0hnR0dDTTJlMjY3ak91NjZaV2RsME9sZU00ell3eFpaYUJLOTI3SDFJYzdPY1ZEeDlQY1YxM2tiWDJ4L1QwOUtWSHRxWkhsTWZuOHlWS090OWE2MGdhWW9vdWRLR2tER3Z0REwvZkgwN2lsNUNRMEM0Mk5qWXZKU1ZsblNSNXZkNHpqVEdMSmNsMTNRNlNQaWt1R2lPcHByVTJQTHpmNC9HOEx1bWhBNnhmSUNVbHBlU3lnS3NrUGVQMWVsZExtbGc4bFNBVTlBY2txY1NTZ2FXRmtnN3VPY0E2QUFDQXc0Q2dId0NPQWRiYW9LU3NqSXlNLzFSMlhRNlYxK3NOSlp6Ylg2QXZhKzBtU2UrNnJ2dkd0bTNic3JPenN3dFZIR1FleTd4ZTcrdVM3clRXV21PTXNkWitaSzE5d2UvM3AzaTkzdEdseThmRXhIeml1dTUza3U0cXZjL3Y5eTlVOFhKOVBwOXZ1S1FIcmJWUGxNcmU3eVFrSk1RWHordHZhSzJOOS9sOGo0Ym0rWWYrM3J0Mzc2VkxsaXpaWEY2OS9YNy9aSi9QTjlZWTAxRkZVd1N0TVdhSEpEbU8wN2ljdytLdHRibXBxYWtFL1FBQVZBS0NmZ0JBcFNvUjRMdkdtTzNXMm16WGRkTmQxMzAvRUFqTXljcksybHZKVlR3U1pybXV1OGpqOGN5dzFxNDN4bnlUbXBvYU5XbWZKQlZQNzloZDNuNUphdGV1WFQxcmJXOUp1WTdqbk9yeitmNlltcG82Mit2MXJqWEd0SkRrQ1pVMXh1Ukp1c1VZczZuNHdVcUtwRTM1K2ZsNSs2bDMwRnFiWjR5SkRXMXdYWGVsNHppU2RGcnB3a2xKU2ZIVzJ1T01NY2R5MGtVQUFJNXBCUDBBZ0VwVG5QVTlSOUkza3VZRUFvRWxnVUFnS3lzcmExTmwxKzFJOHZ2OUg0WCs3ZlA1OWxrMktTbXB0dXU2elZ6WHpkNVh1ZHExYS9jMXhpeVUxTVphZTVhazJ4SVRFMitVOUpDMU5pY1FDR3cyeG15T2lZbVpaSzNkVlhMNlFFV2RjY1laWnhoakdrdkswSCtYNS90R2txeTFmMUxScWdOaHJ1dGVVZnhRWjlhQnZoY0FBRGc4Q1BvQkFKWENXcnZhV3Z0S0lCQ1ltcHVidTNYdDJyVUZLclhPTzZSZ01IaXRVOVNWWHU2SWg4VEV4RmJHbU1lc3RWY1lZOTZ3MXI3bk9JNHh4bnhvcmIzWjcvZC9GU3JyOVhxamZzWmVyM2VCcEJmOGZ2KzBoSVNFMHgzSEtVaExTMXNWMnArUWtOQWlKaVptWFBITE1hSHRhV2xwcTd4ZTd6eGp6QVZlci9jT3Y5Ly9saVIxN05peHNhUUJLc3JITUVZQUFLQlNFUFFEQUk2cXJWdTNiam51dU9OODZlbnBtYW9HOC9NUE4yUE1kNUlhU0ZKU1V0SkoxdHFYSkJVYVkwYjRmTDZMakRFUFM5cGlyUjFscmQwcXlUSEd2QzFwa2Qvdi96WTBjaUExTmZVbHI5ZmJ6QmpUYkgvdm1aU1VWTnRhMjFWU08wbnllRHluUzNyUDYvVXVOTWFzbEhTQ3RmWThTWFVrZlpDYW12cHF5ZU5kMS8yN3grTlpJT2xOcjlmYjB4aXpVZElmSlRWM1hmZXV0TFMwRFlmbjB3RUFBQWVLb0I4QWNGUmxaMmZuWldkbit5dTdIbFdFRThybEY5cVFtcHI2cmlTVG1KalkwMW83VWxKOTEzWFBkUnludGFTWFhOZk5rdlN5NHpoUHBLZW41L2g4dnU3VzJqTURnVUJDNlpQNy9mNW9XZnRkWTR5bjVJYTllL2VlRWhzYkswbkxKU2tZRFBvOUhzL254cGpPa3M2V3ROc1k0M2RkZDJ4YVd0cDRsUnFSa1o2ZXZ0VHI5WGFWTk5nWWMwSHhzb3grMTNYL21wYVdOdk9RUGlFQUFIQklDUG9CQURqS2ZEN2YyZGJhUkdOTWF4VUYvdHVUa3BMaWc4SGdlY2FZOHlSZFo0dzUyVnE3ekJoelZWcGFXb3FreFVsSlNkTmQxMzNjY1p6SFhOZnQ0L1Y2QnhoanhscHJiOHZJeUZoVGtmYzJ4bVJMdXQ3cjlkNXZyZDBsU1k3ajNLeWlKSDMva2FTTWpJd1ZrcTQ4a0d2eSsvMVprcTQra0dNQUFNQ1JSOUFQQU1CUjVycHVhOGR4Umt1U3RmYkhYYnQyZlZhN2R1MzZIby9uSFdOTVRXdnQ5OWJhSnh6SG1aS1NrbElZT2k0bEpXV1BwQ2NURWhLbWVqeWVDY1lZYi9IK2o4cDdyeWhla3RSWjB2RGlYQUdTdE0xMTNRZlMwdEsySHE1ckJBQUFWWU9wN0FvQUFNcVhtSmg0b2VNNGs2eTFjZGJhYTlQUzByNnA3RHJoc0FrRjNHNW9RMUpTVW50SjY0cUQrMzFxMDZaTnpRWU5HcmdsSHdvQUFBQ1VSazgvQUFDVnd5MjlJU1VsWlhsRkQxNjllblhCNGEwT0FBQ29qcHo5RndFQUFBQUFBTWNp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29wZ240QUFBQUFBS3FwbU1xdUFBQ2NjTXJwZjZnUkczTktaZGVqS3NyZmE5dlZqTFcvR2tleCtYdHR1MWJ0RXl1N1NsVlNRVUhCbW8xcmx2MVMyZlZBNWFJdHdhR2lMUUh0Q0E1VlZXeEhUR1ZYQU1EL3RoUGJKTFNJalRIdnlLaDlaZGVsS3JMV3ltT01SNUtDMWdhTm9ka3V4enJsbVJ2WHJrMWJXOWtWUWVXZ0xjRmhRbHZ5UDR4MkJJZEpsV3RINk9rSFVLbGlwUll5YW05a210V3FWVXN4TVo3S3JoS09JY0ZBVUhuNStYS3RqVk9jV2ttcU1sK3dPTHBvUzNBb2FFc2cwWTdnMEZUbGRvU2dIMENWVUx0V0xkMTM3OTFLVERpOXNxdUNZMGpXc2hWNmVmUWIydm43NzVWZEZWUVJ0Q1U0R0xRbEtJbDJCQWVqS3JjakJQMEFxZ1JQakVlbnRUdFZaNTkxWm1WWEJjZVkyTmpZeXE0Q3FoRGFFaHdzMmhLRTBJN2dZRlhWZG9Ucy9RQUFBQUFBVkZNRS9RQUFBQUFBVkZNRS9RQUFBQUFBVkZNRS9RQUFBQUFBVkZNRS9RQUFBQUFBVkZNRS9RQUFBQUFBVkZNRS9RQUFBQUFBVkZNeGxWMEJvRHJvMUtuVGVSNlBKOWxhMjFWU1hXUE1la2xUZCsvZS9jeUtGU3QybFN6cjlYcnZNTWFNalhZZWErMFF2OS8vY0tuTk1UNmZyNStrMjYyMUp4dGp0bHRycCszZHUvZnhwVXVYYmo4eVZ3UUFBQUNnT3FDbkh6aEVpWW1KUFIzSG1WY2M4TTh4eG54c3JZMlQ5RWlkT25XK1MwaElxRk95dkRFbXZ2aWZjNjIxSDVYOEl5bWoxT21OeitlYkxPbEZhNjByNlQxcjdXWmp6RDAxYXRUNHRrT0hEbldQK0FVQ0FBQUFPR2JSMHc4Y0ltTk1ncVNYZHV6WThkVGF0V3Z6SmFsRml4YTFtalp0K29ta3l6d2V6ejJTaG9iS3U2NTduT000a3ZSM3Y5Ky9iRi9uOW5xOS95ZnBXbXZ0TkwvZmY3MmtnQ1RINi9WT05zWmNIeGNYOTZDazU0N1FwUUVBQUFBNHh0SFREeHk2a1g2L1B6a1U4RXRTZG5aMm5xUm5pMStlVzdKd3FLZmZHTE8xQXVlK3oxcHJBNEZBWHhVRi9KTGtCZ0tCUnlYSldudnJJZGNlQUFBQVFMVkYwQThjSXIvZlgxN3dubFA4ZDBHcDdmR1NnaWtwS2Z1Y2o5K3hZOGZHa2pvYlk1WmtabWIrWEhKZjhlc1Z4cGhUTzNUbzBPeGc2ZzBBQUFDZyttTjRQM0RrbkM5SnhwaWxwYllmWjYwTmVyM2VOeVR0bGJSUjBsZCt2MzloeVVJeE1URWRqREhHV3BzWjdlVFcydVhHbUhheHNiRnRKRzA2QXZVSEFBQUFjSXdqNkFlT2dLU2twT2F1Nno0dWFhL3J1dU5LN2lzZTNsOUQwcDBsTmovdDgvbG1CQUtCbXpJeU1uWVhienRCa3F5MW02TzloekZtaXlSNVBKNUdoLzBDQUFBQUFGUUxETzhIRGpPZnozZWE2N3JmR21OT01NYmNuNTZlL212Si9jYVk4MzcvL2ZlNDFOVFVtTDE3OTU1a3JlMWpyZjFGMGxVZWorZlZFdVZxRi8rZHJ5aXN0Zm5GZjljOGdwY0RBQUFBNEJoRzBBOGNSb21KaWJkYWF4Y2JZMXE0cm50YmFtcnFHNlhMcEtTa2JGdTllbldCcE9DU0pVdlcrLzMrZDR3eGwxaHJkMHY2di9idDJ4OG5TWTdqQkNUSkdGUGVpSndha21TdDNYT0VMZ2NBQUFEQU1ZNmdIemc4WXJ4ZTd4akhjY1laWTM0dUxDdzhLeTB0Ylh4RkQwNU5UVjB0YVlFeHhxbGR1M1lIU1hKZGQ0Y2tXV3NibDNOWXZDUTVqaE4xK0Q4QUFBQUFNS2NmT0hTT3orZWJMT2xhU2EvKy92dnYvWXA3OGcvVUxra0tCb08yK1BYSzRyOVBLNmQ4ZTBuQlFDQ3cvQ0RlQ3dBQUFNRC9BSHI2Z1VQazgva2VrSFN0dGZiWjFOVFV2eDlNd04rcVZhczRTVjJzdFc1TVRNeHlTVXBMUzF0dHJmM1ZHTlBaNi9VMktWbmU2L1cybE5UQldqdS9ST0kvQUFBQUFJaEEwQThjdXZ1dHRRVUZCUVhQN0s5Z3UzYnQ2bm05M2t0S2JtdlJva1d0Um8wYXZXYU1PVkhTeHlrcEtkdUtkMWxqekp1U1lpVzlKTWtVYjNjay9idDRPYjhSaC9FNkFBQUFBRlF6RE84SERrRzdkdTNxU1dvdGFYZk5talVuZTczZXFPVmMxLzE3ZW5yNnJ4NlBwNDR4NWt1Zno3ZmNXcnRZVWgxalRGZEp6YTIxeXh6SCtWdko0d0tCd0VzeE1USFhHbU51OWZsOFoxaHJVNDB4WjBsS2tQUnVXbHJhSjBmNEVnRUFBQUFjd3dqNmdVTVFGeGRYWDVLTU1YVWtYVjFldVppWW1HUkordjMzMzNQaTR1TEdTZXB1akxsSlVrRFNUNUplTHlnb0dKS1ZsWlZiOHJpTWpJemRpWW1KRnppTzg1eWs2eVIxdE5iK1pJenBtNXFhT3ZJSVhSWUFBQUNBYW9LZ0h6Z0U2ZW5wditxL3crNzNLenM3T3k4N08vdjJBM21QdExTMG5aTCtYdndIQUFBQUFDcU1PZjBBQUFBQUFGUlRCUDBBQUFBQUFGUlRCUDBBQUFBQUFGUlR6T2tIQU9Bd3M5YmF5cTVEU2NhWUN1Y2VBWERzb0swQlVCSDA5QU1BQUFBQVVFMFI5QU1BQUFBQVVFMFI5QU5BQmVUbTVpby9QNyt5cTNIVS9QVFRUNW8yYmRyLzFEVURPSERCWUZCNzl1eVI2N3FWWFJVQVVlemN1VlBUcGszVHI3Lytlc0RIQmdLQkkxQWpWQWFDZmdDb2dNc3Z2MXlEQmcwNjVQTUVnMEd0V2JNbVl0dU9IVHYwM252dnFhQ2dZTC9INStmbmErZk9uUWY5cDZLKy8vNTdEUm8wU0xtNXVRZDhqUUFPemovLytVODk4c2dqRVRmYWl4WXRVcjkrL2JSNjllb0tuMmY0OE9GS1RVMk4yTFpzMlRKMTd0eFp5NVl0aTlqKzg4OC82L0hISHkvenU1NmJtNnNSSTBab3o1NDkrM3l2UllzVzZmenp6OWZ5NWNzclhEL2dmOTNYWDMrdDVPUms3ZHExNjRpLzE0WU5HelJvMENBdFdiTGtnSTdidVhPbnpqMzNYTDMxMWx2bGx1blpzNmZ1dXV1dWc2cFhmbjYrZHUzYXRkOC8rMnVEVURFazhnTndVRHAxNm5UVjFxMWI1MnpZc09GL29qVU9CQUtxV2JQbUlaL25zODgrMDZCQmcvVDg4OC9yOHNzdmx5U3RXclZLUTRjT1ZXeHNySHIxNnJYUDR5ZE5tcVJYWG5ubG9OOS8vdno1cWwyNzlrRWZEeHhPQ1FrSkxTUTF6Y2pJOEV1cVVnbkpqcmJ0MjdmcjY2Ky9WcGN1WFJRVDg5L2JzdzBiTm1qZXZIbjZ5MS8rVXFIejdOeTVVNm1wcVhybm5YZDA1WlZYcW0vZnZtcmN1TEdzdFhKZFZ5WHp2azJkT2xWRGhneFJyVnExdEdiTkdwMXh4aG5oZlg2L1grKzk5NTYrKys0N0RSczJUQzFhdERoOEZ3c2NacDA2ZGJvc0p5Zm4yN1ZyMXg0VHc5TzJiTm1pcjcvK1doa1pHWHJ4eFJkMXhobG5hTjY4ZVhyNDRZY3JmSTZSSTBlcWE5ZXVSNnlPNmVucENnUUNPdlhVVXcvNkhIUG56bzM2WUtOWnMyYjY5dHR2TlduU3BQMmVvMU9uVG1VZVBEejY2S1A2L3Z2dkQ3cGU3Nzc3cms0KytlU0RQdjVZUk5BUDRLQjRQSjdweHg5Ly9NYW1UWnUrYTR5WjRicnVUNFdGaFZ1enNyTDJWbmJkam9SQUlLQWFOV29jMGprS0N3djF4aHR2NlBqamo5ZUZGMTRZM243V1dXZXBiZHUyR2o5K3ZLNjU1cG9LdmMrQUFRTVVGeGNYc2UyVFR6NVJSa2FHQmd3WVVLYjh2SG56OVBubm54OVMvVXZLeTh0VHJWcTFEdHY1cWl0cnJhWlBuNjZwVTZkcTllclZDZ2FEYXQyNnRhNjk5bHBkZi8zMWlwYm9ldTdjdVJvL2ZyeFdyVnFsbUpnWWViMWUzWGZmZldyVHBrMlpzcXRXcmRMbzBhUGw5L3UxZCs5ZXRXblRScmZkZHBzdXV1aWlvM0Y1aDh4eG5DVEhjVDd4ZXIzTHJiV3ZXV3RuN2Q2OWU5UHExYXQzU3dwV2R2Mk9wczgrKzB6QllGQTllL2FzVVBuUXo5WVZWMXloMk5qWThQYUdEUnRxM0xoeGV2Lzk5L1hxcTYvcWxGTk8wVzIzM1ZibStIbno1dW01NTU3VEJSZGNvQ2VmZkZLTkd6ZU8ySC8rK2VkcnhJZ1JldVNSUjlTblR4OE5HVEpFcDUxMm1ucjM3cTNiYjc5ZFYxNTU1YUZkTUE2N2pSczNhc3lZTVZxd1lJRjI3TmloK3ZYcnEwdVhMcnJubm52MGh6LzhvVXo1blR0M2F2VG8wWm8zYjU1Mjd0eXA1czJiNitxcnIxYnYzcjNsOFhnaXlnWUNBYjMzM252aFllSU5HalJRdDI3ZGROOTk5NmxCZ3daSDZ4TEw1ZkY0UG0vVXFOSDZCZzBhdkMzcEU5ZDExMlptWnU2U1ZDWEhwOTk4ODgxcTA2YU5IbjMwVWYzMXIzL1Y2NisvcnRhdFcrdisrKyt2OERsYXRteDVRTzlaM2tJUGUvYnNpZG9aa0phV0pzZHg1UFY2RCtoOVNucnp6VGUxZHUxYXVhNnJ2WHYzaHU5YnpqMzNYRFZ0MmxRbm5IQ0Nubjc2YVVsRkR6Z0hEQmlnNU9UazhQZmRtMisrcWJ5OHZETG5MU2dvVUg1K3ZucjA2QkgxZTNSLzZ0YXRlOURYZEt3aTZBZHcwSXd4elkweGowaTYzM0djakxpNHVBVmVyM2VKNjdyejA5UFRWMVoyL1E3R3ZIbnpORy9ldklodG9TOUt2OThmL25JcXJWMjdkcnJ4eGh2M2VlNDMzM3hUR3pkdTFNQ0JBOHVNR3JqcnJydjB5Q09QYU9USWtSVjYwdCs5ZTNmVnExY3ZZdHVQUC82b3JLeXM4QWlDa2paczJIQlFRZitpUll2MHB6LzlxY3gxZlA3NTUzcjExVmZWcEVtVEF6N24vNUovL2V0Zm1qeDVzbHEwYUtHTExycEl1Ym01K3VHSEh6UjQ4R0F0WGJwVUF3Y09qQ2cvY2VKRURSa3lSQTBiTnRRbGwxeWliZHUyYWY3OCtmcnh4eDgxYnR5NGlNQS9Nek5UZDk5OXQ2eTFPdi84OHhVVEU2TnZ2LzFXRHovOHNBWU9IS2dlUFhvYzdjczlhTWFZOXNhWTRkYmFRZlhxMWZ2QjYvV21TTXFRTk0vdjkyK283UG9kYVlGQVFKTW1UVkxMbGkxMTNubm5WZWlZMGFOSGErellzVnE5ZXJYNjlldW5WYXRXNllzdnZvZ29jOGtsbDJqWHJsMGFOV3FVdG0zYkprbjY4TU1QRlI4ZkwwbEtTRWpRS2FlY0V0SGJkdGxsbDRWNzlycDI3YXJSbzBmcjhjY2ZWNjFhdGVTNnJuNysrZWY5VGhYS3pzNVdlbnE2dW5UcEVuNHZIRm5yMTY5WDc5NjlsWmVYcDg2ZE82dFJvMFphdVhLbFpzMmFwVysvL1ZadnZmVldSUHV4YytkTzNYcnJyY3JPemxaU1VwSzZkdTJxQlFzVzZPV1hYOWFhTldzaXByTlphNVdjbkt5NWMrZnE1Sk5QMWhWWFhLSGx5NWRyNnRTcFNrdEwwL2p4NDZ2RUNESmp6Qjg4SHM4QVNZODZqdVAzK1h5TFhOZE50OVl1cUlyM0pKMDdkOWI0OGVNMWZ2eDRuWDc2NllxSmlWR2ZQbjJPMlBzdFdyUklmL3pqSHlPMkxWNjhXTW5KeVhycHBaZms4L2tpOXMyZlAxOU5temFWMysrUDJGNm5UcDB5WmN2ejNudnZTWklXTEZpZysrKy9YeDkrK0tGT09PRUVTZEsvLy8xdnhjWEZoUjhxaE81cDJyUnBFOTdXcUZHanFFRi95Qk5QUEJFeE1ncmw0MU1DY0Vpc3RUTEd4QmxqenBKMGxqRW0zM0djbk1URXhGWEdtSEY3OXV5WnZHTEZpaU0vYWUwdytlbW5uOG9OanRldFc2Y05HOHJHSC9uNStlcmV2ZnMrZy82bFM1ZnE3YmZmMXBsbm5xay8vL25QWmZaMzc5NWRsMTU2cVNaTm1xUXVYYnJvL1BQUFAvaUxxSUR2dnZ0T1M1Y3VMYlBkR0tPNzc3NDcvSHJLbENrUlFmL1VxVk0xZXZSb3RXN2RXbzVEV3BqOVdiOSt2WjU1NXBtSVh0Rk5temJwMWx0djFiUnAwOVNyVnkrZGR0cHBrcVJmZi8xVkkwYU1VUFBtelRWaHdvUnd6MnZvUWNDUUlVTTBldlJvU1VXNUlRWU1HS0JnTUtneFk4YW9VNmRPa3FTc3JDemRmdnZ0R2pwMHFDNisrR0xWcVZQbktGL3h3U3R1U3hwSXV0UmFlN0V4WnBlMWRuTmlZdUppeDNIZVRVMU4vVXBWdE5mdVVNMmNPVk9iTjIvV2dBRURLdlI3Tld2V0xJMGRPMVlublhSUytQZDErL2J0K3VHSEg4cVVYYk5talhiczJCRk80alZ0MmpTMWF0VXEzTk5WK3Bnenp6d3o0dlVaWjV5aGp6LytXREV4TVZIbjFvWWVpazZmUGwxdnYvMjIwdFBUOWR0dnYwbVNKaytlVE5CL2xHellzRUVKQ1FucTM3OS94TVBZMGFOSDY4MDMzOVFycjd5aTRjT0hoN2VQR0RGQzJkblpldkRCQjhPQlprNU9qdnIwNmFNWk0yYm8ybXV2VldKaW9xU2luOCs1YytlcVc3ZHVldW1sbHhRVEV5UFhkZlhZWTQ5cHpwdzVtalJwa3U2ODg4NmplOEhsS0hGUDBsVlNWMk5NcnVNNFd4SVRFNWRiYXljVUZoWitscFdWVldXUzFaeDAwa25xMzcvL0laM2o1NTkvMXBkZmZobDEzOVZYWHgzKzl4ZGZmS0dISG5vby9MdS9iTmt5OWV2WFQ4YVlNaU03MXE5Zkg4NC85STkvL0NOaVgrdldyZlhoaHg4ZVVwMUQ5dXpab3dVTEZrZ3FHcWtpU1V1V0xBa0grcUdIbFRoMEJQMEFEb2t4Sm56VFYvenZPRWx4anVNY0wrbTgyclZyLzh2bjg4MXlYWGU4TVdibG5qMTd0bGZsaHdCMzNIR0g3cmpqam9odDJkblp1dnJxcS9YQUF3L29sbHR1S1hQTUZWZGNzYzhoK2R1M2IxZHljckpxMXF5cHA1NTZxdHloYU1uSnlmTDcvVXBPVHRhd1ljTjAxbGxubFh2T1RaczJsWmtuRjhxZ0hlM0J4TysvL3g3eCtvY2ZmdEJISDMwVXNTMFFDTWhhR3hIMFoyUmtLRE16TTN6ai8venp6K3ZVVTAvVjZOR2oxYWhSbzNMcmh5TFBQUE5NbWMrcFdiTm11dUdHRy9UYWE2OHBQVDA5SFBSUG1USkZnVUJBZDk5OWQ4UlE2NXR2dmxrVEowN1VEei84b0MxYnRxaHAwNmI2ejMvK28zWHIxdW1xcTY0S0IveVMxS0ZEQjExKytlWDY3TFBQOU8yMzMrcUtLNjQ0T2hkNm1KUVlmdXBZYXh0SWF1QTRUbHNJOVlmcEFBQWdBRWxFUVZSSnQzaTkzbzJTSmxocjM4L1B6MThmQ0FSeVY2OWV2Zi9zbDFWY2ZuNitYbi85ZFVsU3g0NGQ5MXMrbEdTelVhTkdHajU4ZVBnR3ZrdVhMdXJTcFV0RTJSMDdkbWpTcEVtYU5HbVN6anp6VFAzNDQ0OXEyN2F0dG16Wm91dXZ2MTdYWEhOTjFCN2F2THc4UGYvODg3cm5ubnZVb2tXTE1qMXB5NVl0MDRnUkk1U2VucTZzckN4SlJkT0xPbmJzcUd1dXVVWjVlWG1hT0hIaVljbURnb3BwMzc2OWhnMGJWaVo0dSt1dXV6UisvSGlscDZlSHQrWG01bXJtekprNjRZUVQxTHQzNy9EMkJnMGE2TTQ3NzlTZ1FZTTBZOGFNY05EL3dRY2ZTSkllZXVpaDhNK0M0emg2OE1FSE5XZk9IRTJmUHIzS0JQMmw3MGtrMWJYVzFuVWNwN1drS3gzSDJlYjFlcWNFZzhIeEhvL25wNjFidCtabVoyZVgzNVY4QlBqOWZvMGNPVktQUC81NGVGVE44dVhMdFhMbGdROUc2Tnk1czM3NTVSZE5tREFoWW50b09IMlhMbDNDOXlmNStmbWFNbVdLYnJ2dE5pMWR1bFQzMzMrL0hNZlJxRkdqZFBycHAwY2NIM3FJTUdyVUtEVnIxaXk4UFRrNU9lckQ1QysrK0VKZHUzWXRNd0p4ZnpadDJxUisvZnBKK20vNy84b3JyNFR2a3dLQmdCSVNFZzdvbklpT29CODROc1VtSkNRa3hjVEVOS3pzaWtpS0dzU1crTkp0TE9rV1kweFBZOHlhT25YcUxQTjZ2WDRWRGR1ZFYrYkFLaUFRQ0dqTm1qWGhMK09jbkJ4SlJYTmxveWtzTEZTTkdqVVVDQVMwZS9mdWlQbU4rZm41ZXZEQkI3Vmh3d1lOSGp4WXpaczNML2Q5R3pac3FGR2pSdW11dSs3U2d3OCtxT2VmZjc3Y3VkazMzWFJUdWVlSk5wS2d0SDc5K29XL2FFUHV1KysrTWc4UzZ0V3JwekZqeGlncEtVa2pSNDVVWW1LaWhnNGRXaVhtY0paa1hhc2FIdmZrMEUxcVZWSGVnNUZRb0ZieVlkSENoUXNsU2QyNmRZc29hNHhSMTY1ZHcwTnBMN3Zzc25EUHlBVVhYRkRtM09lZWU2NCsrK3d6K2YzK2NOQ2ZtSmg0WVptQ1ZZRGpPT0U3elpMdFNNbTVweVhha3VhU0hqUEdQRkNyVnEwc1NXbUppWW1wZ1VEZ3V5VkxsbVFjdFVvZlpoTW1UTkNtVFpzcVZIYjI3TmthT0hDZ2F0V3FwZEdqUjBlZDAxdFlXS2hGaXhacDl1elordXFycjlTcFV5ZTkrdXFyOG5nODZ0Mjd0L3IzNzYvTm16ZHI5T2pSR2pWcWxDNisrR0tkYzg0NU92UE1NOE85OHV2V3JkUDMzMyt2K2ZQbjY5bG5uOVY1NTUyblVhTkdoUU9CbVRObnFsR2pSa3BJU05DbGwxNnFtVE5uYXN5WU1lSEFZY2FNR1pKMHlIbFFLb2RWRFk5N2FsVnJTL2FudkRZNUppWkdjWEZ4RWY4WGl4Y3ZWaUFRMFBubm4xL20rL3VjYzg2UnBQQ1E3cHljSEMxZHVsUnQyclFwazh5eFJZc1dhdG15cFg3NTVSZHQyN1pOOGZIeFZhS3QyYzg5U2J5a3YzazhuanVNTVN2ajQrUFQ0K1BqZjVUMGZWcGEydUtqVWI4dFc3Wm81Y3FWdXVXV1cvVFh2LzVWZDk1NXA3NysrdXQ5WnNrdno0c3Z2cWhMTHJta1RGSzd0OTkrVzYrOTlwcmF0R21qZGV2V1NTcjZQbi9ublhmVXVuVnJQZjc0NDZwVHA0NUdqeDZ0ZHUzYVJSeHJyZFVubjN5aStQaDRuWDMyMlJIN2Z2dnR0eklQQ0RadTNLaisvZnVyY2VQR2V2cnBwOVc1YytjSzE3L2txSUhWcTFmcnhodHYxR3V2dlJZZTN2L2trMDlHN2NqQWdTUG9CNDVCaVltSlBSM0hHV0d0cmJUZjRmSjZxMFBiUTErd0piNW9hMGhxWjYxdGE0eTV5bHI3b05mclhiTTNFSnkvSjZBRHo4SnlCTTJaTTBmLy9PYy85ZEpMTDZsNzkrN2FzV09IcFBJRHVNTEN3bkRtL1hidDJtbnc0TUdTaW5wVCt2YnRxNnlzTE4xenp6MjY3TExMd3Nlc1dyVktnVUFnM01zYjBxWk5HNzN5eWl1Njk5NTc5ZkRERCt1NjY2NVQzNzU5eS9UR2pSdzVza3d2MnJ2dnZxdkZpeGRyeElnUlplbzRlL1pzZmZ6eHgrVmU4ODZkTy9YRER6K1VTU0xVdTNkdnZmcnFxL3IrKys5MTJXV1hhZENnUVZYeVJ0NUlxaDBiMDh0eHpERnhweDY2b1c3ZHVyV2sveTdsR0I4ZkgvWGhVaWpMY09qbTdhZWZmcEtrcU1uOVdyVnFGVkZXa2h6SDJYK0s1RXBncmEwWnJTMko5Z0NnUkZ0U3l4aVRaSzMxT1k1elMyeHM3R2F2MTV1VlZ4QmNsSCtNNWYvLzVaZGZOSDc4ZURtT3M5OTE3cWRPbmFyUFAvOWM4Zkh4ZXVXVlY4cGsxSjR4WTRhKytPSUwrZjErdWE2cjd0MjdhOHlZTWVHTS9LRWVlVW02NktLTGRORkZGMm5od29YNjdMUFA5UHp6ejJ2Mzd0MXEyTENoTHJqZ0FnMFlNRUFUSmt6UUF3ODhvQWNmZkZDUFBmYVlnc0dnRWhJU3RINzlldjN0YjM4TEw5TzFZTUVDelp3NU0ySmFRbUZob1NRZGt6Mzl4aHBUS3libURzY3hyU3E3TG9mRFR6LzlwRjI3ZGtWODEreXIvWWlQajFmZHVuV1ZuWjBkenVGUVhsbXBxTDM1NVpkZnRINzllc1hIeDFlNXRtWS85eVNuRzJNNlN1b3BhVXRpWXVLcWdrSzdPTTg5c3Zja2wxOSt1VTQ5OVZRbEp5ZnI5ZGRmVjE1ZW51NjU1NTd3U01JWFhuaEI4K2JOMDR3Wk04cU0zQ2l0dkNsY1gzNzVwYnAyN1JxUnNPNHZmL21MeG93Wm83NTkrNnBObXpZYU1XSkVSQzkreU1LRkM4UFRnWGJzMkJHKzkvbnR0OSswZmZ2Mk1qOEx6WnMzMXdzdnZLRGs1R1RkZSsrOXV2MzIyM1h2dmZmS2NSd3RXclJJNjlldkQvOGN6Wm8xU3cwYU5DanpvT0ZnN2UvendYOFI5QVBISU1keE9rdUtMNTd6K2xzbFZlT0FSaGtVejdNTHZReEkyaTRwVzY3SkxTK2piR1daTW1XS0dqWnNxSFBQUFZlU3drK1p5K3VsRC9YMG4zbm1tZnIwMDArMWZmdDJ4Y2JHNnU2Nzc5YktsU3ZWcTFldmlDSHprdlRjYzg4cE16TlRreVpOVXR1MmJTUDJkZXpZVVJNbVROQkREejJrcVZPbnFsbXpadUdoazhGZ1VVTHp6cDA3bHdtK1AvLzhjOFhFeEpTWmt5c1ZKWDNibDFtelppa1lET3FTU3k2SjJIN1ZWVmRwK3ZUcHlzbkowWUFCQTZwa3dCOWlqV0tLcDVkVWFZc1hMOWFjT1hQVXVuWHI4UERabkp3Y0JRSUJIWGZjY1ZHUENkMTBoYVpwYk4yNlZaTEtaRnd2dWEza3FJMHEvTG5FN3I5SXBKSnRpYlhXa1ZSYlVuMUp4MVNFR1FnRTFMOS9mem1PbzU0OWU0YUhVSmZuODg4L1Y1czJiVFJzMkxCd0lxeVM2dFdycDNyMTZ1bkpKNS9VZWVlZHB6cDE2bWpod29XYU5tMmFldlRvb1hyMTZ1bTg4ODRMRDcrZFBuMjZHamR1ckdlZmZWWjc5KzdWa2lWTGxKYVdGZzRPVzdSb29iZmVla3RQUGZXVXVuVHBvcFl0VzJyUG5qMzY3TFBQOXBzcm9xQ2dhTlpGNlJWR2ppR3hWZmgzcHNJQ2dZQ0dEQmtpU2JyKyt1dkQyMFB0eDc3YW0vWHIxeXN2TDIrZmJVM0o3YUgycHJJK3R3UE40RjZ5SFRIR09KSnFGZVVVQ2RUVVVlaUhhTjI2dFNaTW1LQTMzbmhEZmZyMFVWeGNYUGozWmNXS0ZXcmZ2bjI1L3ovN3MyclZLcTFZc2FMTU1wOHRXN2JVbi83MEowMmZQbDFQUFBGRTFJQmZrc2FPSGF1NmRldHF6NTQ5V3Jod1lUZ25UVXBLaWlSRjdjay8vZlRUTlhIaVJBMFlNRUJ2dmZXV01qTXpOWGp3WU0yZVBWdHo1c3hSSUZDVWptWGN1SEZ5SENlY0F5azNOemVjUjJuejVzMlNpcjRqdDJ6Wkl1bS84L3hMS3l3c2xNZmpPYWpNL2YrckNQcUJZNWpydWwrNXJ2dXZ5bmp2bUppWWhkRzJSd3ZnaStmWUZVaktzdFl1bHJUSWRWMS9lbnE2djFXYmhMTVZhLzU2aEt0YllULzk5Sk5TVWxKMDU1MTNobnVwMXExYkoyT01Uanp4eEtqSGhIcjZMNzc0WW4zMDBVZWFNV09HZXZmdXJUUE9PRVBubkhOT21kN3pPWFBtS0RNelUzLys4NS9MQlB3aHJWcTEwb1FKRS9UdXUrOUdMTGNWK3VJc3VVVFhvU29vS05DNGNlUFVyVnUzTWc4MlBCNlArdlhycDc1OSsycm8wS0Y2NG9rbkR0djdIazVXVXQ3ZXdNUTZOVHpQVlhaZGlzMk51bkh1WEQzNTVKT3FWYXRXeEVvUStmbEZTMHVYOTFBbDlMTVk2a0VObFkvV2t4bzZ4OTY5LzEwOTAxcDc3UUZmd1ZIZ09NNjVrcDR0dmIyOEI0SEZOM2g1MXRvc1NXbldXbjhnRUppL1pNbVNqS0syUkxjZjBRb2ZSb3NYTHc2djRKQ2JHejJ2Mk9MRml6VisvSGhKMHFXWFhxcW5ubnFxM0VENmdnc3VLRFBkSTlUVzlPalJRMy80d3g4aVJnRjk4TUVIYXR1MnJjNDk5MXpWcUZGRFBwK3ZURWJ1aGcwYlJpUi9xNmljbkJ6VnFGSGptT3pwdDhiYXZFRHc5ZHF4bmxXVlhaY0tpdHJXNU9ibTZ2SEhIdzluYkMvNVFQZEEycHQ5dFRVbHp4RnFieXFyclRIR1JQMGM5bkZQc3RkYXU4cGFtMmF0RFEvdkwyNUg5cjBVejJFU0Z4ZW5CeDU0SUdMYnpwMDd0VzdkT3AxNzdybmg3L3Rvb2lYZkMzbjk5ZGZWdUhGalhYcnBwV1gyM1h2dnZabzdkNjZlZi81NVRaZ3dvY3pQUUZwYW10TFMwblR2dmZmcXh4OS8xTmRmZngwTytyLysrbXMxYWRKRXA1eHlTdFQzclYrL3ZvWU9IYXFYWDM1WlU2ZE8xZTdkdXpWdzRFQU5IRGd3bkwzL2d3OCtpTWpldjNYcjF2QjNZZWovYXR5NGNlRmd2ckN3c014MEFra1J5LytoWWdqNmdXT1lNV1p6UmtiR2Z5cmp2VXZlSEpaS21oUHhiMnZ0YjliYVQ0UEI0QmlQeC9QVHRtM2JqbnJTbkFNeGV2Um8xYWhSUTcxNjlRcHZ5OHpNMU1rbm54ejFCcW13c0ZDdTY2cEdqUnBLVEV4VXMyYk45T21ubjZwUG56NTYvUEhIeTVRdktDalE4T0hEMWFCQmd6SVpjVXVyVTZlTzdybm5ub2h0dTNmdmxzZmppWnJ3SnljblI4RmdVQ3RXckNpemIxOFpjS2RNbWFKdDI3YVZTV0FZMHExYk4vWG8wVU5UcDA1VlltSmltU1g4cWdMakdCVzZualZwYVduZlZIWmRvZ2tFQWhveFlvUW1UcHlvcGsyYmF1alFvUkhEYlVNM2I2R1JIS1dGZ3YzUVRVNG9tVll3R0N6ekFLaDBXVW1xcXA5TFltSmlnOUN3OFAwRStyTFdicmJXZmhBTUJxZElXaU5wUjBaR3h1NmpWTlhEcm5Qbnp1clZxNWQ2OU9paGlSTW5SdXdMemJtZlBuMTZlTnNOTjl5dzM1dmNQLzd4anhFalBFTHRVMmpVVWtrRkJRVmF1WEpseEdvbHJWcTFDaSt4RmJKeDQ4Wjk1aUlKMmJ0M3IyYk5tcVc2ZGV2cTg4OC9qN291L0xIQmFHL1FzMnJsMHFyNU8xTVJTNWN1VlhKeXNqWnMyS0JldlhxVldRYjJRTnFia20zTi9zcEtsZGZXSE1BOXlYWkowMXpYbmVRNHpvcmMzTndkcTFldmpzeDBleFN0VzdkT0o1MTBVdmgxYUZSZUtBRm5lVHAxNmhRMUI4Q3laY3MwZCs1Y1BmREFBMUVmMUJ4Ly9QRjY1SkZITkhEZ1FMM3d3Z3NhTUdCQXhQNE9IVHFvVzdkdXV1bW1tOVM0Y1dPOThNSUwycnAxcTJKall6VnYzano5My8vOTN6NnZKNVRnOFpaYmJ0bnZ5aDBkTzNiVTdiZmZyci8vL2UrUy9qdW5mOVNvVWVFNS9WT25UbzI2Uk9qdnYvOSt3RWtELzljUjlBTTRKS1dHN1V2U0RtTk10clUyeTFyN2tldTZNNCtWRy9QUWwyV3ZYcjNDWDFZN2R1elE4dVhMZGMwMTEwUTlKalNNdFdiTm1qTEc2TExMTHRPRUNSTzBmUGx5dFcvZnZrejVjZVBHNmRkZmY5WEFnUVBEYzdldHRmcnd3dy9Wc0dIRGlIbi8wZXpjdVZQQllMRE1zTDJTOXJXdnRPenNiSTBlUFZwZHUzWU56LzJONXVHSEgxWktTb3FlZnZwcE5XblNaSjhyQ3lEU2I3Lzlwbjc5K21uSmtpWHEzcjI3bm56eXlUSkp0MEkzTDZWWFdRZ0ozZlNFaHRLR3l1Zms1SlFKQkVObEQzWm9hR1VxY1dQdVNzb3p4dVJZYTFNa3ZlbjMrMmRKS3F6TStoMU9NVEV4ZXV5eHg4cHNIelpzbUQ3NDRBTzVycXRldlhycCtPT1AxOHN2djF5aGN6NzMzSE1SdllPVEprM1NtalZyb2o2QWZPR0ZGOVNpUll1SW0vaGF0V3BGbEFrRUFycnBwcHQwNFlVWFJxemJIazFzYkt3R0R4NnMzYnQzeTNFY1BmbmtreFdxTXc2dnFWT242c1VYWDFTZE9uWENlV2xLcTErL3ZxUjl0emUxYXRWU1hGeGNSRnRUWGxtcDZyUTNwZTlKakRGNTF0cmZYZGRkYll4NVk4K2VQUjlYbFJXRWR1L2VyWjQ5ZStycXE2OE8vNDQyYmRwVWp6NzY2RDZQR3pseVpOUWNRNFdGaFJvMGFKQWFObXlvRzI2NG9kempyN3JxS24zNzdiZjY5Tk5QMWJ4NTgzQitEcWxvNU1iUW9VTmxqTkhGRjErc1ljT0c2WjEzM3BIak9Bb0VBcnIyMm9vTjVLaklVcDBWV1YzbXV1dXVpN3A5MDZaTlpmS2FZTjhJK2dFY2t0QndXMGsvV212bnVxNmI3cnB1V21abTVzK1ZYTFVEWnEyVjErdlZyYmZlR3Q3MjBVY2ZLUkFJbEpuckhoSWEraGdLdkc2ODhVYjk4WTkvakpxa1p2WHExWHJycmJmVXRXdFg5ZWpSSTJMZm5EbHp0R1RKRXJWcjF5NXFSdTZRalJzM3FsV3JWbnIrK2VmTDdCczdkcXdXTEZpZ3NXUEhsdGszYmRvMHZmLysreEhiWE5mVmdBRURaSzFWY25KeXVlOHBGWTA2R0RseXBPNjQ0dzcxN2R0WEw3MzBVampMTThxM1k4Y08zWEhISGRxOGViT2VlT0tKY205Z2F0ZXVyZmo0ZUczY3VGSDUrZmxsQXZtMWE5ZEtVbmhZWmN1V0xiVnMyVEt0V2JOR3h4OS9mTlN5b1NTQng0cmlJYmM1a240d3hpd09Cb1Bwa3I1UFQwLy90YkxyZGpUVnJGbFQ1NXh6amg1ODhFRzFiTmx5bndrNHQyM2Jwc21USjZ0SGp4NXEwYUtGa3BLU0l2Wi85ZFZYMnJScFU1bWwvS1NpMytrbVRacEUzUmVTbVptcDNOemNjSkM0TDhZWVRaZ3dRZm41K1dyV3JKbDI3dHlwVjE5OVZUZmNjSU9hTm0yNjMrTng2TjU3N3owTkhUcFVYcTlYZ3djUFZwTW1UYUtXQy9Vc2g5WmhMMm5uenAzS3lja0pENmtPZlI5Rkt5c1Z0VGVPNDRRVGlGYTI0bnVTZkd1dDN4aXpLQmdNcGxockYyZGtaSlFkQWxmSmZ2amhCd1VDZ1lnMnZGMjdkdnRNY21ldDFaQWhRNkxtV0hqdHRkZTBhdFVxRFI0OGVMOTVOd1lOR3FTTkd6ZnF0ZGRlSzdOVWIraWhTWU1HRGRTN2QyKzk5ZFpiY2h4SFBYcjBLSGVhNDhHWVBuMTZ4RVBLVVA2SStmUG5oNy9IUWk2KytPSndPN1Jod3didDNyMjd5dnpNSFNzSStnRWNOR3R0dHFSUmhZV0ZIKzdjdVhORGRuWjJnYVI5cDZDdXdqcDA2S0EzMzN3ei9IclRwazBhUDM2OFRqbmxsS2pKOGFTaTlheWwvODUzYk5hc1dkVGtPSHYzN3RXQUFRTlV0MjdkTWoxbXhoZzk5ZFJUdXZIR0cvWFlZNDlwL1BqeFVZZmxCUUlCclZxMVNsMjZkSWw2VTlDZ1FRTjVQSjZvKzZJOWRSODZkS2pTMDlQMTBFTVBsVm1LS1pwV3JWcHArUERoK3R2Zi9xYStmZnZxc2NjZUt6ZUlSWkZubm5sR3YvNzZxMTUrK1dWMTdkcDFuMlhQUFBOTXpaNDlXd3NYTG94WXF0RmFxd1VMRmlndUxpNDhoRFVwS1Vtelo4L1dkOTk5VjJaSnBkRFNUZEdHZEZkVjF0clZ4cGkzSlgwUkRBYlhaV1JrYkZkUndzLy9PZi92Ly8yL0NwZmRzbVdMeG80ZHF4bzFhcWhUcDA1bGVtTi8vZlZYNWVibTZxdXZ2aXB6N08rLy82NE5HemFVMmRlZ1FZTndvcTdRejFLMHBTR2pLWGtUN3ZmN05YYnNXSjEyMm1rRS9VZkJzbVhMTkd6WU1IWHUzRmt2di96eVB2TytoTDdQNXMrZkh4NWFIVks2L2ZqREgvNmdKazJhS0Nzckt5S1R1MVQwRVBybm4zOVdVbEpTbVZFaWxjRmErNnN4WnFLMWRvYWsxZm41K2R1eXNyTDI3dmZBU25LZ3YxOVNVY0xFWURCWUp1aWZNMmVPeG84ZnJ3c3V1R0MvSXdhbG9sRTlJMGVPMU8yMzM2N1hYMzlkVzdkdTFTT1BQRkptR3VOTk45MmtzV1BIcXFDZ1FMMTc5NjV3UGZmRldxdWNuQnlOSERsU2UvYnNpZGd1U2UrLy8zNlpCSDJKaVluaG9QKzc3NzZUVkRURkFSVkgwQS9nb0FTRHdlNi8vZmJiZjZyeS9QeERrWnVicTMvODR4L2FzMmVQSG43NDRYSXp4SWJXMXk1dk9iK1FGMTk4VVN0V3JORHc0Y09qRG9OczFxeFplSjdkMEtGRDljOS8vck5NbVpTVUZPWG01a1pOYW5PZ0prNmNxRW1USnVuQ0N5L1VUVGZkVk9IakVoSVNOR3JVS1BYcjEwL1BQZmVjMXE1ZHEzNzkraDF5ZmFxalRaczJhZDY4ZVRyenpEUDNHL0JMMHJYWFhxdlpzMmRyOU9qUjZ0eTVjM2lwcGZmZmYxL1oyZG02K2VhYnd5TUFMcjMwVW8wWU1VSWZmL3l4cnJubW12QVNTbGxaV1pvNWM2YmF0bTFiSmlsYlZlVHhlUHlCUUtCTGVucjZZaFhsWThRQkNDMnJkY0lKSitpZGQ5NkptdXRES2txWUZjM2F0V3ZMN0d2YnRtMDQ2UC9tbTI5VXIxNDk3V3ZOK2hOT09FRTMzM3h6bVNCay9mcjFrdjY3M0NTT3JNbVRKNGQ3YlBlWDZQV2trMDZTeitkVGFtcXFQdjMwVTExOTlkV1Npb2J3di9IR0c2cFpzMlo0R0xjeFJ0ZGVlNjNlZU9NTkRSOCtYRTg5OVpTTU1YSmRWOE9HRFpNazNYenp6VWYyNGlvZ0dBeitPU2NuNTZ1MWE5Zm1WM1pkS2lJWURHcisvUGs2OGNRVHkxME9NWnJRYWtJbDd5TXlNelAxNUpOUDZzUVRUeXd6UjM5ZkdqVnFwREZqeHVpQkJ4N1ExS2xUdFhMbFNvMGRPemFjeDhGYXE1ZGVla21CUUVER0dQWHYzMTlEaHc0OXFJZDRvZUQrWC8vNmw1WXNXU0tmejZjdnYvd3lva3kwT2YybFdXczFlZkpreGNURXFGdTNiZ2Rjai85bEJQMEFEa3A2ZW5yVVRMblZ3ZGF0VzNYLy9mZHIxYXBWK3Z2Zi83N1ArZXZUcGsyVHBITG5sdTNaczBjdnYveXlQdm5rRTUxMTFsbXFXN2V1L3ZPZi95Z3ZMMC81K2ZuaFAzbDVlZHF6WjQvcTFxMnJLVk9tNk1JTEx5d1RLSWFTZXAxLy92a0hmRTJoWkV2RlE2aTFZTUVDblhiYWFYcnV1ZWNpMXRjT0NTMlhFNjMzeHV2MWF0eTRjUm93WUVERU1sQ0lGQXJBc3JPenkzMHdVcjkrZlQzMTFGT1NpbnJmZXZUb29XblRwcWxuejU0NisreXp0WG56WmkxYXRFaXRXN2ZXMy83MnQvQng5ZXJWMDZPUFBxb0JBd2JvMWx0djFRVVhYQ0JycmViTm02ZlkyTmp3alhsVmw1S1NzazdTdXNxdVIxVVc2bm5idmJ0c2FwU3NyQ3hKUlZNNVJvNGNXV2IvcWxXck5HWEtGRjExMVZVUk9Uc1dMMTZzeFlzWDY2S0xMb3BJS0ZsU2FQcklsVmRlR1E0Q2F0U29JV09NdG0vZkhpN1hxbFdyTW9uaUpDazlQVjIxYTllT1NGS0dJeWZVM3J6MTFsdDY5OTEzbzVicDJiTm4rSHNsT1RsWnQ5OSt1NTUrK21sOStlV1hhdEtraVJZc1dLQnQyN2JweVNlZmpKZ2EwS2RQSDgyZE8xY3pac3pRNnRXcjFiNTlleTFkdWxTclZxM1NsVmRlR1RFeXFiS2twNmZQcU93NkhJaEZpeFpwMjdadCswMk1WOXI4K2ZNbFJUNU1XN3g0c1dyVXFLRVJJMGFFY3dXVkZGb0tyM2J0Mm1YMk5XblNSR1BIamxWeWNyS3V2dnJxOE8rNlZEUWFjT2JNbWJydXV1dlV2WHQzUGZyb28rclpzNmY2OU9taks2KzhVczJiTjFlUEhqM0tUVEFhREFiMS9QUFA2OGNmZjFSMmRyYWtvaFdTTHJua0VsMTg4Y1VIZE4waFU2ZE8xWm8xYTlTalI0K28xNHJ5RWZRRFFBbUxGaTNTZ0FFRHRHM2JOdDF6enowUkdlMGZldWdoN2Q2OVczWHIxbFZzYkt6V3JWdW41Y3VYcTNQbnp1Vm1xcDQrZmJvbVQ1NHNxV2orM2c4Ly9GQ21qT000cWwyN2RuaU9iU0FRMEtCQmcvVGhoeCtHa3lobFpXVnAxcXhaNnR5NWM0VjZ6dGFzV2FPcFU2ZXFUcDA2Y2wxWG4zenlpZXJXclJzTzRvY01HYUk5ZS9hRXY2ejlmcjhtVDU2c3VuWHJLamMzVjNQbXpGR3JWcTNLblJmWXNtWEw4RkppaUM2MEROdW1UWnZDSTBKS0s5MDcycjkvZjdWdTNWcFRwMDdWekprejFiaHhZOTEwMDAyNjk5NTd3ejMvSVgvNjA1OVVyMTQ5alIwN1Z0OTg4MDE0THZoOTk5M0hYTWRxSlBSQWNlalFvY3JLeWdyMzR2NzIyMi82K09PUDFhUkprNGlsUDNmdTNLbHZ2dmxHbjN6eWlUSXpNeFVmSDYrMmJkdEdCUDJyVjYvV1o1OTlwckZqeDZwWnMyYTYrT0tMZGRsbGwwV01JcG81YzZZa1JmU214Y1RFcUczYnRwbzBhWkwyN05sVEppRmx5TnExYS9YTk45K29SNDhlVVI4cTR2QUx0VGNMRjBaZFRWZVNJdkt3bkhMS0tSbzNicHhlZnZsbHBhYW1LaEFJcUgzNzl1cmZ2Ny9PTysrOGlPTnExYXFsTVdQR2FOU29VWm96WjQ1Kyt1a250V2pSUWc4OTlOQUJqUlREZjRVZTRrZEx0Q2dWUFN4Kzl0bG4xYkJoUTlXcVZVdkdHRzNjdUZHTEZ5OVdmSHg4eE9pYk8rNjRRMWRlZVdWNGF1R3VYYnMwYU5BZ05XalFJUHd3T0NZbXB0ek9pZHExYTBjOE5Nekx5OU5UVHoybHI3NzZTdDI2ZFZOeWNySThIbzhtVDU2c0lVT0dhUFRvMFhyMTFWY1ZIeCt2RTA4OFVZMGFOVkptWnFaaVkyUGxPSTVjMTlYZXZYdlZ1WE5uL2ZycnIyclJvb1Z1dlBGR25YUE9PV3JWcXBVS0N3czFZOGFNOElPQWtIM042WmVLVm1nWU5teVk0dUxpeXF4c2hQMGo2QWVBWXZuNStSb3dZSUR5OC9NMWVQRGdxUFBpRmk5ZUhQNTNYRnljTHJ6d3dxaEQ4VU91dmZaYVpXVmxxV1hMbG1yYXRLa2FOR2lnK3ZYcnEzNzkrcXBYcjU3cTFLbFRwamY5azA4KzBUUFBQS04zM25rblBMOTM5KzdkaW8yTjFYMzMzVmZ1ZThYRnhZVUR3NW8xYTBZc0ExYTNibDMxN2RzMy9McG16Wm9SZVFQcTFLbWpMNzc0UWxKUkZ1NVRUejAxYXNadlZOeVZWMTRaWHQrNG9oekhVZS9ldlNzOGQ3SmJ0MjRNY2F6bTJyWnRxMGNlZVVTVEprM1NlKys5RjU3M0doc2JxNDRkTzZwZnYzNXlIRWVyVnEzUzhPSER0WGp4WWdXRFFTVWxKV253NE1IcTNyMTdSTytkVkRRYysrYWJiMVptWnFabXo1NnQyYk5uNjczMzN0TUpKNXlnL3YzNzY2eXp6dEx5NWNzVkV4TlRKbUhub0VHRDlLOS8vVXV6WnMwS3I4MWVXdTNhdFhYWlpaY3g5ZWNvK3ZUVFR3LzRtTmF0VzRlSDZPOVB2WHIxbEp5Y3ZOK2tyNmlZalJzMzZyampqbE5DUWtMVS9jMmJOOWZLbFNzajhuVEV4c2FxVTZkT2V1aWhoOHBNNFNpWlM2aGV2WHBLVFUxVlRrNk9qREU2NFlRVDFLOWZ2Nmo1aGtvTEJBSzY2NjY3dEd6Wk12WG8wVU9QUC81NGVJbkg1czJiNjkvLy9yYzJidHlvaFFzWGF0bXlaVnEzYnAxKytlVVg3ZHExU3dVRkJRb0dnM0ljUnpFeE1icnFxcXYwMm11dmxYbVBnb0tDY3FjY3hjWEY2WU1QUG9pNmI4YU1HV3JYcnAwdXYvenlDbDBMQUJ6emZEN2ZNSi9QWjcxZTcraktyc3VoYXRVbTRleFdwM1hhbUhEV2VmYWJiNyt6bFMwOVBkMXUzTGh4bjJVS0N3dHRYbDZlRFFhRFI2UU9ydXZhVHovOTFCWVdGa1pzWDdObXpRR2ZxN0N3MEJZVUZCeXVxbFU1Q3hjdHRwM1B1OWkyT2kxeFI2djJpUmRXOXM5elNHVi9McVZWOXVkeE5GUzF0dVJvKy8zMzMrMmRkOTVweDQ4ZmJ6ZHQyblJBeHdZQ0FmdmRkOS9aZi83em4zYkhqaDNXMnFKMmFPblNwVWVpcWxWU1ZXMUw5cWV5UDdmU0t2dnpPRlJIc3gzNTVaZGZLbFN1c0xEUTd0Mjc5NGpXcGFRZmYvelJUcHc0OGFpOTM0R282dmN6VmJrZG9hY2ZBRW9vNzZsN1NURXhNV1Y2emc0blkweVpKZjBrSGRTUTdTTlpUd0JWUjcxNjlTSldIemtRSG85SDU1NTdic1NLRDhZWWRlalE0WEJWRDBBcEZjMTNjYlMveDVPU2tzb3MvMWxWbEY1ZEFCWEhSQ3NBQUFBQUFLb3BnbjRBQUFBQUFLb3B4bjBDQUhDWW1XTmh2VHdBeHp6YUdnQVZRVTgvQUFBQUFBRFZGRUUvQUFBQUFBRFZGRUUvQUFBQUFBRFZGRUUvQUFBQUFBRFZGRUUvQUFBQUFBRFZGRUUvQUFBQUFBRFZGRUUvQUFBQUFBRFZGRUUvQUFBQUFBRFZGRUUvQUFBQUFBRFZGRUUvQUFBQUFBRFZGRUUvQUFBQUFBRFZGRUUvQUFBQUFBRFZGRUUvQUFBQUFBRFZGRUUvQUFBQUFBRFZGRUUvQUFBQUFBRFZGRUUvQUFBQUFBRFZGRUUvQUFBQUFBRFZGRUUvQUFBQUFBRFZGRUUvQUFBQUFBRFZGRUUvQUFBQUFPRC90M2ZuOFhGVjlmL0gzNTg3azdVdGxDN1FEU2hTYkJ1NnpKMVFCUVFMaW14ZktZc0tvdXdDeWhjUVZPUUhnb0NBZ2doQ29YNUJSRlpaSzFpaHRBcnliV21GRmdvejA2Uk5DY1hTSlZDNjcybVdtWHQrZjJTU2I5YW1TOXBKaHRmejhlQ1JtWFBQdmZjelFhNTV6ejNuWEdRcFFqOEFBQUFBQUZtSzBPL1lGcThBQUNBQVNVUkJWQThBQUFBQVFKWWk5QU1BQUFBQWtLWENtUzRBQUNRcGxVeHBRZmxDNWVYbFpib1VkQ0ZsQzhwVlcxdWI2VExRaVhBdHdjN2dXb0xHdUk1Z1ozVG02d2loSDBDbnNMV3FTZzg5OHFoeWMzSXpYUXE2a05yYVdtM2N0Q25UWmFBVDRWcUNuY0cxQkkxeEhjSE82TXpYRVVJL2dJd0t6SzMwWk1zRDUvSTNiT3ljRjBwMEFjNnRxSEZ1ZWFiTFFPWndMVUdINEZyeXVjWjFCQjJpRTE1SENQMEFNbXJwd3RMRkJ3dzU5Qnd2bkxOdnBtdEIxNVV5dC9yVEQwb1dacm9PWkE3WEVuUUVyaVdmYjF4SDBCRTY0M1dFMEE4ZzA0S2xIODB2azFTVzZVSUFkR2xjU3dEc0txNGp5RXFzM2c4QUFBQUFRSllpOUFNQUFBQUFrS1VJL1FBQUFBQUFaQ2xDUHdBQUFBQUFXWXJRRHdBQUFBQkFsaUwwQXdBQUFBQ1FwUWo5QUFBQUFBQmtLVUkvQUFBQUFBQlppdEFQQUFBQUFFQ1dJdlFEQUFBQUFKQ2xDUDBBQUFBQUFHUXBRajhBQUFBQUFGbUswQThBQUFBQVFKWWk5QU1BQUFBQWtLVUkvUUFBQUFBQVpDbENQd0FBQUFBQVdZclFEd0FBQUFCQWxpTDBBd0FBQUFDUXBRajlBQUFBQUFCa0tVSS9BQUFBQUFCWml0QVBBQUFBQUVDV0l2UURBQUFBQUpDbENQMEFBQUFBQUdRcFFqOEFBQUFBQUZtSzBBOEFBQUFBUUpZaTlBTUFBQUFBa0tVSS9RQUFBQUFBWkNsQ1B3QUFBQUFBV1lyUUR3QUFBQUJBbGlMMEF3QUFBQUNRcFFqOUFBQUFBQUJrS1VJL0FBQUFBQUJaaXRBUEFBQUFBRUNXQ21lNkFBQUFPcHJ2K3dQTTdNekt5c3FuUHZqZ2d6VzdlcnlSSTBmdWs1T1Q4MndRQkZjbUVvbUYyN05QY1hGeFRrMU5UZmZTMHRKMXUzcCtBQUNBblVYb0J3QmtuU0FJdmhBS2hlN056YzM5bDZRMWtqUmt5SkM5ZXZUb2NYeDcreWFUeVRlYUIvVlVLcFdYazVOemdwbnQzYngvY1hGeFRoQUVBNElnMk4vTWhwdFpzYVRpSUFoR2hzUGh4eVJkMWtFZkN3QUFZSWNSK2p1V1JTS1I4ejNQKzZGemJvU1poU1dWT2VmK0ZJL0gveWpKdGJiVDZOR2pqdzJGUWorVmRMaHpiaTh6V3lIcGdWZ3M5cnZXK2hjVkZYWFB6OC8vcmFSb0xCWTdZbnVMR3pac1dPK0Nnb0xiSkkyVDFFZlNFa21QeHVQeHV5V2xHdmYxZmY5Sk16dTNqVU9kRW92RkptL3ZlUUdnTXlnc0xEekF6Q1pLMnVxY0M1cHZOek5QVWtFNEhCNGo2YjMyanVmNy9pOGwvU2dJZ241bTVvVkNvU2JiblhNckpkVnU0eENlNy91WG10bnYxNjVkMjJ2eDRzVlYyenBmSkJJWmJHYVBTNW9kajhldmE2KytldEZvZEpSejdsWkpSNXRadnFUU0lBanVUQ1FTazFycHUxVFMvcTBkcDZxcXFrZFpXZG5tN1QwdkFBRG9IQWo5SGNqMy9mdk43QXBKL3pHelNjNjV2U1I5M2N3ZTlIMS9URHdlLzBIemZhTFI2QTNPdWR1Y2M1Vm05cnJxN2toOXdUbjNwZVo5aTR1TEM0TWcrSUdaWFMrcHY2UjN0cmUyWWNPRzlTNHNMSHhIMHNIT3VlbG05cHB6N2dRenU5UDMvZUh4ZVB5Q1pydjBTZjlSL0xmbXh6S3o1ZHQ3WGdEb2hMNFdqOGRuTjI4Y05XclVpSEE0WEZyL2Z1alFvVDBLQ3d1L0xFbk91WDNTUDcvayszNVBTVEt6S3VmY2Vra0xuSE9mU2pwSDBsK2NjdzlWVlZXVmIyTmFnZm0rZjRxWjNTd3AybDZ4dnU4UGtQUlRNN3RjVXI1enJrWHRiWWxHbzRkTG1pYkpKRTEyenRXYTJUalA4LzRXaVVRdVRDUVNqemZicFk5emJvV2tmemMvVm1WbFpYSjd6d3NBQURvUFFuL0hHaUxwM0ZnczlwZjZoaEVqUnV5Zms1TXoyOHd1aWthai94T0x4ZDZ2M3hhSlJMNGo2WFl6bTExVlZYVjZXVm5aWi9YYmlvdUxjeG9mMlBmOXM1MXpmelN6SHBMZVYxM28zMjRGQlFWM1NUcFkwclh4ZVB4M2tuVG9vWWYyeXN2TGU5Zk16bzlFSW45S0pCSnZOZHFsdDZUVjhYajgyenR5SGdESXBFZ2s4ZzNQOC9aenpuMVJra0toMERlajBXaEUwcEprTXJsRGMrdno4L09IU0pva1NaN25XZnJuM2ZXakJNeXNxUEdJckdnMCtqMUpzWGc4L25aYnh5d3VMaDRXQk1IclpqWkkwbExuM0NvejY5dFcvMmcwZXAra3kxWDMvOWZ2U3lyZWdZOFFjczQ5WVdaaDU5ellSQ0x4dGlUNXZuK1ltYjF0WnI4Zk9uVG9pK1hsNVpza2FkQ2dRUVdTQ3N6c2xWZ3NkdFlPbkFjQUFIUmloUDZPZFY0c0ZsdlZ1R0hldkhuTGZOOS9TTkt0enJralZmZEhXLzBjMEh1ZGMrc2tqU3NySzJ1eTMvdnZ2OTk4U09qQnpybGx6cm03Z2lDWUdnNkhWMnh2VWNYRnhYczc1ODUxem4yY0hzb3ZTWm8vZi83YWFEVDZhMG1QZXA1M3ZxU0cwRzltZlp4enExbzdIb0RzTW1yVXFLR2hVQ2dVajhmTE1sM0xyakt6R3lTTk5iUDY5M2RJa25QdVJVbTNwTHQ5TlJLSjlHdGwzd01hdjU4N2QyNWNVbmRKS2lvcTZwZWZuNy9jT2ZmVmVEemU3dEQvdGlTVHlUNmU1K1ZKK2xWVlZkWGRlWGw1c3lXMUdmcWRjMFdTcHB2WnJjNjUvZExURTdhTDcvdkhtOWtYblhOUDFBZCtTWXJINCsvNXZ2K3NtWjFYVUZCd2lxUm5KS2xuejU1OTBsMjQ5Z01Ba0VVSS9SMG9IbyszOVlmU0Jra3lzK3I2aGlBSVRqS3pnYzY1TzdheFg0TlVLblZ2U1VuSjdaSlVYRnpjeDdsV2x3ZG9sWFB1YTVKeUpFMVdzM1VGcXFxcXB1Ym41MHZTMGMxMjYyTm03d3RBMXZNODcwUXp1OC8zL1RsQkVEd1VCTUgwbXBxYVZlWGw1VnNrdFpqNzNwbFZWMWNmWDFsWjZmWHExZXRJU1c4a2s4bmlqUnMzbHZYdTNUdVZTcVdHcHJ2ZFltWnR6ZWx2WXZUbzBWL3lQRyt2NXNQN25YTWJFb25FbkZaS3lCazFhdFNnVUNqVXo4ejZPZWZ5NHZINGkvVWJOMnpZOE43aXhZdjdLNzJPaXUvNzIvdzhxVlRxOUpLU2tpM3B2anM2OHVyRTlPZDZ1WlZ0VXlXZFoyWkhLeDM2UTZGUW4vUm5YTG1ENXdFQUFKMFlvWC9QT0ZxU2dpQ1kzNmp0RzVKa1psT0xpb3I2NWVYbG5lbWNHK2g1M3RLYW1wcS96cHMzcjhtZC9Qby8rbmFHYys1UU01TnpyclQ1dHJLeXNzK2kwZWdHMVEzOTkxVDNCMzVZMGw3T3VTLzR2ditJcEsxbXRxaTJ0dmJ2cGFXbGkzYTJqazRpYitUSWtVZDdudGM3MDRYc2l2cWh5MEVRdEFncHdNNHlzekdoVUdpTTUzbHJjM0p5WnZtK0h3K0NJT2FjZTZ1a3BLUkxCTUd5c3JJYVNkcDc3NzFyMGd2cjFTeGV2TGhxOGVMRkdqWnMyUEp3T1B5VHFxcXE1eHBQcDZybiszNWZTVC8wUE8rVCtyWlFLSFMzY3k3YWZIaS81M252UmlLUkp6M1BPOWs1dDYrWjdTY3BKT211Y0RoOGx5UTU1d0l6bXkrcElmUzN0MWhmYzd0eTdaZDBxQ1FGUWREaTJ1K2MreUE5R3VLUStyYjY2NktabmVUNy92N091VTFtTnM4NTkxSWlrVmkvQzNVQUFJQU1JdlR2WnRGbzlHdk91VE9jYy9PYnpaa2ZtZjdaTno4Ly94VkplOWNQUjgzTnpiM0Q5LzB6NHZINHZ6cW9qQUdTbEg0cVFBdk91WlZtZHNqUW9VTzdsWmVYYnlvcUt1cVQ3bitncEliRkI4UGg4TjIrNzk4ZWo4ZHY3cUM2OXJndmZPRUxCNGJENFQ5TGFqRzB0eXN4czFCNnRNZUJtYTRGMmFOK0JKR1o5WkwwWDJaMm91ZDVHeVN0OEgzL2JVbFB4ZVB4TnpOWjQ2NG9LQ2lJQkVHd09EYzM5L0JJSk5KaWUvcnp6MHVsVWxGSnIwcFNMQmI3cXRUNjhQNW9OSHFwYzI2VHBJOGtyWFRPM1dObUR6cm4vbFJkWGIwaVBXMHIxZUpFZTg0QVNkcThlWE9MYTcrWnJVei8zS2RSYy8zdy9zUE43UEJHVXlSKzcvditlZkY0dkxVUkF3QUFvSk1qOU85R2tVamtOT2ZjWDh4c1N6S1pQSy9aNXZvL3J1NExndUQySUFpZURJVkNZVWtYcTI3ZTZRc2pSNDQ4dVBtem9uZFNvU1FGUWREcUhTWXpxNUtrN3QyNzUwbmFWRlpXdHJxNHVMaXZwQTBiTm16d3VuZnZmb0NaZlZmUy96T3ptNkxSNk9KWUxQWllCOVMxeCtYbjUrZEkybHRTYnFacjJSWE9PWm1aUE0vcmtlbGFrRDNTSTRJYXdyL3E3bHozU244Sk1GelNEeUtSU0lXWlBTenB4V1F5dVR5VlNtMnB2N3ZlR1htZXQzYzBHajA5Q0lMTlp2YUFwSU8wN2NmbzVaalpWa2s5MDQvSUd5SzF2bnAvTXBtY1ZGSlM4bkQ5anRGbzlHNUpIOFhqOGJtNzdRUHRtRUpKeXMzTmJYSHRyNm1wcWNyTHk1TnpMcSsrTFpWS3ZWSlpXYm4zUng5OVZEbDA2TkNDdkx5OFE4TGg4QldTTHBRMHNiaTRlUFQ3NzcvL3daNHJId0FBZEFSQy8yNVFYRnljNDV5N1M5TFZ6cmtLU2FlVmxKVEVHdmRKUHl0WnpybW5FNG5FM1kwMjNScU5SZytWZEdaT1RzNlprdjdZQVNVbDArZHM2OTkzZlFDdXJPLy8vdnZ2cjI2MGZhR2syM3pmLzBqU004NjVxeVIxeWRDL2N1WEtwUWNjY01DTnFWUnFZS1pyMlJWbTluVXpHeU9KUDhBL0I0cUtpdnJsNXVZTzIxM0hydysyNmRjTjdmWGh2L0VhSXA3bkRWTGR3cVQvTHljbnB6UVVDcFg0dmg5UHBWTFRTa3BLeW5kWGpkdXJ1TGk0MERsM3VIUHVURWt5czVsMVArb1c5RE96L3hlTHhlNUxkdzlGSXBHUnRiVzFTK2ZQbjc5V2tpS1J5RFZtZHFNa2VaNTNwblB1cHZUcnZQVFBodFg3UGM4N1IrblYvVHNqTTB0S1VrRkJRVmhTa3k5bW5IUE5yL3ROcGhLa1YvU1BTYm9vR28zV210bWx6cmtmU2JwNnR4Y09BQUE2RktHL2c0MFlNV0kvNTl6ZkpYM1pPZmRpVFUzTnBmVi9URGJtbk51Y3ZxdjJVaXVIK1lla005T3JOdTh5TTFzblNaN245V3FqU3gvbjNPWllMRmJaeG5aSlVqd2VmeUVhamY3WnpBNVYzVE9mdDM4MXdVNWk5ZXJWbTFhdlhqMGgwM1hzcW1nMGVxK2tNV3IyaHp5eVQzck5qd2xtOXBYZGVKckMxaHJydndCb0hQb2JUUUhvcHJwaDRGODJzNnBRS1BTWjcvdHhTUlBqOGZoZmxmNnljVTl6enBXb2JvMFNsNjd6MXRyYTJpZExTMHNYUmFQUk14cjNIVEZpUkIvUDgrSTVPVG5uU0hxNitiRmlzZGhka3U2U0pOLzM0MllXYWI1NmYzRnhjVTV0YmUxKzRYQjR2L1Q1dnhLTlJydWxWOXJmenptM242VEtlRHgrOG03NzBHMXd6cTB6TTlYVzF2WlNvM0F2U2VGd3VINGFWN3RQZ2dtQzRBblA4eTdWLzAxTEF3QUFYUWlodndPbEY0SDZ0M051ZitmY3BZbEU0azl0OVRXelJaSkd0M2IzUGIxNGtsUVhySGRaRUFRZmVwNG4xUTNQYlNMOUpJRGVadmJPZGh3cTVaemJhbVk1SFZFWGdQYmw1dWIyUzMvUjFzODV0MFhiSHBxK1UzYm12K242S1NicDF5RkozU1R0N1p6TDcrRHlkclN1Qjgxc2tabFZTdnBITXBuOGExc0xrSWJENGIzU0w3ZTVXTjdvMGFPUE1yT0QwMjlQSGpseTVOcFFLTFNYbWIzaG5Pc1ZEdi9mWmR6TWpuWE9EVGF6ejV4em4wa3FkODc5cHdNKzJzNzRVTkpobnVjTmwxVFJlRU1vRkJvbVNjNjUrYTN0MkZncWxkcmtlWjdjamp3MkJnQUFkQnFFL283MUowbGZDSUxncExsejU3N1dUdCtaa2s2WDlGVkpzeHB2TUxQNlp6Z3Q2S0M2cGt1U2MrNi9KTjNRZUVQNjBZRlMzZU9idG1ua3lKRWowM043UzlRRjcvSURXZUQzenJuLzNRM0gvWmFaWGRHOHNiV00xeWpvYjVGVTZwd3JNYk5FTXBtY1ZscGFtdkhwSnZGNC9CNnBMcWluVis5dmsrZDVYNUFrTTZ2WVZyOVFLUFFyNTl6RFp2WXpTYWVIdytGTGd5QTRROUtQSksxSXBWSXJQTTliNFhuZWFrbTN4K1B4KzdaMXZEM0ZPVGZkekw3bmVkNS9TWHE5MmVhVDBqL2J2ZmFIdytGajBpL2IvWUlBQUFCMFBvVCtEbEpjWEh5QWMrNVVTZE8ySS9DcnBxYm1tWnljbkZ2TjdKcElKUEo4SXBGWUxFbSs3eGRKdWtKMVF6SC91ak8xK0w1L25KbjFpOFZpZjVHa1JDS3gwUGY5Tjgxc3JPLzdGOFhqOFVjbDZkQkREKzBsNlNaSlc1MXpEYU1TUm8wYU5jTHp2T3BFSXJHd1VkdWdjRGo4ZVBwdG15TVlBT3hXWllsRVlucEhIelFTaVl4dWJTaC9ZNDIyZnlycHlWUXE5WGN6VzdacTFhcDFuMzc2NlRhbkJuVld6cmx2bTVuTXJNMXBNcU5Iano1VFVuRVFCSmVGUXFHZm1kbGx6cm5yUXFIUUpFbGZqOFZpRFYvT1JxUFIxdlkvMVBPOC8wbWxVcGZ1N2pVUG1sLzdKVTEwenQxbFpwZU1Halhxa1pLU2tubnBmb2RKT3NjNWw0akg0ek1hMVhxc21jVWJQNTdQOS8wanpPeTI5T01ILzd3NzZ3Y0FBTHNIb2IrRE9PZEdwMzkrd2ZmOVZoZDJNck4xc1Zqc1FrbWFOMi9laW1nMCttTkpqM3FlTnpjYWpiNGlxZEE1ZDd4enJzRE16by9INDZ0MnRJNmhRNGYyTUxPcGtzSys3eStQeCtOdlNGSVFCSmVIUXFHM0pUM2krLzUzekd5NXBCTWw5UStDNEpKRUl2RnAvVEZDb2RBSVNVLzd2ai9MekQ2VU5NQTVkNVRxaHU4K0g0dkYvbWRINndMUStUV2FyMS9mbEhMT2JaVzBQZ2lDdDgzc1R4MzRLTkU5emprM1VkSThTWXBHb3ljNDV5NlNWT3VjbXhPTlJ1L2Z1SEhqYldZV2wvU3dWTGVlZ3VkNUR6am5mbDliVzdzeEZBckpPWmRjdFdyVjJmdnV1Ky9FVkNyVnU3MXptdG1CWnZaVnovUDJhcS92cm1qdDJwOUlKTmI3dnY5alNVK0dRcUhadnUrL2JHYWVwSEhPdVJybjNJVnFOR3JMODd5enpHeXk3L3ZUSmEweXM0T2RjMTlKLysvaXFsZ3NWckk3UHdNQUFOZzlDUDBkSkFpQ3ZUelBxMysyZmF2UFRuZk9OVmt3S1JhTFBSYUpSRmFZMlMvTTdQVDBpdEN6Z3lENDlkeTVjNmZ0VEIzbDVlVmJvdEhvYkVrSHBsS3BocnRLYytmT25lLzcvaEdTN2pDenNjNjVzSm5GZ3lDNE9KRklUR2w4akZRcUZRK0ZRdjlNcnc1L3VLUXQ2YjUvVGlRU1Q0aWgvVUJXYW5RM2Y2MmsyV1kyeHptWENJTGc3WktTa3BXWnJXN0hlSjRYa2lRemE3aGV4ZVB4WHhZWEZ4ZEdvOUVibkhNM21kbEM1OXpYSlAxQTBuVTlldlE0Mzh4K0dZdkZycGVrdkx5OC81YjBxZWQ1ZDBocUNQZ1ZGUlZiS3lvcXZ0bkthWVAwK2dZTjZ0Y0MyTHg1ODI2OXk5L1d0VDhlano4VmpVYlhtOWtOa2s1TGY0a3oxZk84RzVvL2ZzL01Ka3VLbU5uUnF2c1NlcTJrbDgzc25sZ3NObk4zMWc4QUFIYWZEbGtvRHNDZWxWNjkvMnJuM0VQeGVQeXlUTmVEM1NjU2lVUTh6M3RXMGpEbjNObnhlUHk1M1hDT3F6elB1ODg1bDFEZDR6amYzTEpseXljZmZ2amhPa21wamo3Zjd1VDcvcmVjYy91WTJUZ3pPOFhNQmtncURJTGd5UFFpZTZlYldVOUprMnRxYWk2ZU4yL2VDcWx1Q2xNb0ZCcHZabWRJS2sybFVsZEpXaGtLaFVLeFdLeWtxS2lvWDM1Ky9uTG4zSmpHcS9jM08vY2lNOXZzbkJ2dm5FdEp5dkU4N3pwSlcyS3gyS2c5OVRzQUFBQm9qRHY5QVBBNVoyYXYxOWJXamlvdExTM05kQzI3eXN4T01MTkxKQ1dkYzQvR1lySGxrVWprTk0vem5wUzAwY3ltT3VmK3AvRmNka2txS1NtcGtQUXQzL2ZQTnJNSFBNL3JGNC9IZDNURTFiV1NIakN6UjlLUFpIWE91WS9NN1BJTytuZ0FBQUFBUGcraTBlaTkwV2pVK2I3L1lLWnJ3ZTRWaVVRaTBXaDBRZnJmOTNjelhVOFhFWkxrTlc3d2ZYOTB1cjFkUlVWRjNYZEhVUUFBQUpuQW5YNEFRTFpwTVNVaEhvL1AzZDZkeThyS05uZHNPUUFBQUpuanRkOEZBQUFBQUFCMFJZUitBQUFBQUFDeUZLRWZBQUFBQUlBc1JlZ0hBQUFBQUNCTEVmb0JBQUFBQU1oU2hINEFBQUFBQUxJVW9SOEFBQUFBZ0N4RjZBY0FBQUFBSUVzUitnRUFBQUFBeUZLRWZnQUFBQUFBc2hTaEh3QUFBQUNBTEVYb0J3QUFBQUFnU3hINkFRQUFBQURJVW9SK0FBQUFBQUN5RktFZkFBQUFBSUFzUmVnSEFBQUFBQ0JMRWZvQkFBQUFBTWhTaEg0QUFBQUFBTElVb1I4QUFBQUFnQ3hGNkFjQUFBQUFJRXNSK2dFQUFBQUF5RktFZmdBQUFBQUFzaFNoSHdBQUFBQ0FMRVhvQndBQUFBQWdTeEg2QVFBQUFBRElVb1IrQUFBQUFBQ3lGS0VmQUFBQUFJQXNSZWdIQUFBQUFDQkxoVE5kQUFBTU9IakUvcms1NFlNelhVZG50SEZyYW1EM2ZGdmltYW9xYTVQOUJ3K0xISlBwbWpxajZ1cnFqNWQvdkdCSnB1c0FBQURvYkFqOUFESnE4T0RJWU9XNHgyUnVXS1pyNll4U01tMnNTWms1bVpOZEszT1pMcWxUeXN2UFhUcDRjT1NzeFlzVGl6TmRDd0FBUUdkQzZBZVFXZmthTE5Nd2svVXJMQ2hRS0J6S2RFWG9RbExKbExaV1ZTbHdMbC81R2l5SjBBOEFBTkFJb1I5QXAxQllVS0NmL3ZoeUZRMGZtdWxTMElXVUxTalhBdzgrclBVYk4yYTZGQUFBZ0U2SjBBK2dVd2lGUXlvYVBsU0hmK213VEplQ0xpWW5KeWZUSlFBQUFIUmFyTjRQQUFBQUFFQ1dJdlFEQUFBQUFKQ2xDUDBBQUFBQUFHUXBRajhBQUFBQUFGbUswQThBQUFBQVFKWWk5QU1BQUFBQWtLVUkvUUFBQUFBQVpDbENQd0FBQUFBQVdZclFEd0FBQUFCQWxpTDBBd0FBQUFDUXBRajlBQUFBQUFCa0tVSS9BQUFBQUFCWml0QVBBQUFBQUVDV0l2UURBQUFBQUpDbENQMEFBQUFBQUdRcFFqOEFBQUFBQUZtSzBBL2djeVdaVEtxMnRuYVBucSt5c2xMT3VWMCtWbWxwcWU2Ly8zNVZWMWQzUUdYU0o1OThvb3FLaWc0NUZnQUFBRG9uUWorQXo1WDc3cnRQWjUxMVZzUDcrbERlM2ordEJlMjc3NzViNTU1NzdqYlA5OXBycitub280L1c4dVhMMit3emFkSWszWDc3N1VxbFV0czhWbmw1dVo1NDRnblYxTlMwMmNjNXB6dnZ2Rk96WnMxcXNXM2h3b1Zhc21SSncvdGJicmxGTjl4d3d6YlBLZFg5anRhdlg3L1QveVNUeVhiUEFRQUFnTjBqbk9rQ0FDQ1RYbnp4UmQxMTExM3Q5anZxcUtNMGZ2ejRKbTNWMWRXcXFxcmE1UnEyYnQycVNaTW1hZlhxMWZydGIzK3JVQ2lrS1ZPbXRPaFhVbElpU1pvNmRhcnk4L05iYkI4M2JweTJiTm1paFFzWDZzVVhYOVNWVjE2cDg4NDdyMkg3cjMvOWEyM2F0RWt2dnZqaUR0VzNZTUVDWFhEQkJUdjRxZjdQZmZmZHA2T1BQbnFuOXdjQUFNRE9JL1FEK0Z3NzZxaWp0TysrKzdhNmJjcVVLZnJmLy8xZjVlZm42OWhqajkydTQ5MTc3NzJxcXFyUzlkZGZ2OTAxbkgzMjJlcmJ0Njl1dU9FR1hYSEZGYnJqamp2MDFGTlB0ZWkzY2VOR1NkTHp6ejh2ejJzNVVHdmN1SEhxM3IyN0huendRZDEwMDAwYVAzNjhQdm5rRTExLy9mVmF1M2F0NXMyYnAvUFBQMys3NjJydW5IUE9VVkZSVVpPMmtwSVNQZmZjYzdyeXlpdlZ2My8vSnR1V0xWdW1CeDk4Y0tmUEJ3QUFnRjFINkFmd3VUWnc0RUFOSERpd1Nkdnk1Y3YxNjEvL1dyTm16ZEtSUng2cDY2Ky9YZ01HRE5pdTQvM25QLzlSWldYbE52dXNYcjFhQ3hZc2FITDMrN2pqamxOaFlhRmVmZlZWRlJZVzZxbW5udEtHRFJ1YTdEZGx5aFJObURCQnYvdmQ3OVN0VzdjbTI3cDM3OTd3T2pjM1Y3LzV6Vy9VdDIvZmhuUE1uRGxUemprOS9mVFRldTY1NXlTcFljckNWNzd5bFNiSEdqeDRzSjUrK3VrV2RVY2lrVmEvL0hqdXVlZDB4QkZIYU9qUW9VM2FTMHRMQ2YwQUFBQVpSdWdIa1BWcWFtcjAzbnZ2U2FvTDlGdTNidFhiYjc4dHFTN0lGaFlXU3BLQ0lOQUxMN3lnQ1JNbXFLQ2dRTC81elc5MHdna25kRWdONWVYbG1qeDVzbWJPbktteXNqSWRjc2doTFlhOEgzbmtrVHJ5eUNNbFNYLzcyOTkwKysyM3QzcXM3M3puT3kzYUxydnNNbDE4OGNVTjd6M1AwODkrOWpOSmRmUDhuMzMyV1Ixd3dBRTYvZlRURy9yODlhOS9WU3FWYXJMR2dTVDE3Tmx6NXo0a0FBQUFPaDFDUDRDc3QyN2RPbDE1NVpWTjJ1cmZQLy84OHhveVpJZ1dMVnFrVzIrOVZhV2xwVHI5OU5OMTFWVlhxVWVQSGkyT1ZWTlRvenZ2dkZPU05IZnVYSzFaczBhMzNucXJKT2tYdi9oRlE3K3FxaXJObVROSC8vakhQeVJKMTF4empYcjE2cVdqampwSzFkWFZEWFB5Rnk1Y3FEdnV1RVBYWG51dGhnMGIxckQvU1NlZDFPSkxnVmRmZlZYMzMzKy9YbnJwcFJaMyt1dmZQL3p3dzZxb3FOQXZmdkdMaG5OTW56NWRDeGN1MU0wMzM2eHg0OFkxN0ROejVrelYxTlEwbWZmZjN1L3gwMDgvYmRFbVNhdFdyV3J4KzFxOWV2VjJIUmNBQUFDN0Q2RWZRTmJyMjdldjNuampEVW5TSC83d0I3Mzc3cnQ2NG9rbkpFbjUrZmw2K09HSDllYy8vMW1EQmczU0k0ODhJdC8zMnp5V2MwNHJWNjZVVkxjQVh6S1piSGkvYXRVcXJWKy9YaDkvL0xHKzlyV3ZxYnE2V252dnZiZWt1c1hzampycUtKbVpycmppaW9ZVitEZHYzcXhseTVicC9QUFAxOFVYWDZ3TEw3eFE0OGVQMSt6WnMxdWN1MzVPLzA5Lyt0Tlc1L1QvNUNjL1VXNXVybDU5OVZXVmw1ZHIvUGp4NnRldm4xNTk5Vlh0czg4K092SEVFM2YyVnlpcGJpSEF0bHgxMVZXN2RHd0FBQURzSG9SK0FGblA4N3lHSWV0NWVYa0toVUlONzB0TFMvWEhQLzVSVXQzUS95dXV1S0xONHd3Wk1rUlBQUEdFSmt5WUlLa3VCQ2NTQ1UyWU1FRnZ2ZldXdnZuTmIwcXFHeDUvNFlVWDZwaGpqbEZKU1lsKytjdGY2dUNERDVhWlNaSnFhMnVWbDVjblNmSjlYODg4ODR5dXZ2cHFQZlRRUXpyZ2dBTTBkdXhZSFhMSUlUdjhPUTg4OEVBZGVlU1I2dCsvdjI2NjZTYWRlKzY1ZXY3NTUzWG5uWGRxNGNLRnlzM04zZUZqTm5iNTVaZHIxS2hSVGRybXpKbWpSeDU1UkRmZWVLUDIzMy8vSnRzV0xWcWszLzcydDd0MFRnQUFBT3dhUWorQXo3VUJBd2JvMm11dlZYVjF0Y2FQSDYrVFR6NVpJMGFNME9yVnEvWG9vNC9xekRQUDFPREJnL1h5eXk4M2hQYldISExJSWJycHBwczBhZElrbVpuT09lY2NTZi8zbUwzR0tpc3JHMFlBU0hVakVSNTU1Qkc5OHNvckRXc0lyRisvWGg5OTlORjJmWVpRS05Sa2RNSUpKNXlndmZiYVM3RllUTWxrVXM4ODg0eWt1b0RlMklvVks1UktwZlRrazArMk9HYXZYcjBhdnNSSUpwT1NwT0hEaCt1d3d3NXIwbS9ObWpXU3BLS2lvaFlMK2RWL3NRRUFBSURNSWZRRCtGenIzYnUzempyckxFMmRPbFZTM2Qzc2Z2MzZhY3FVS1pMcUhsTTNjT0JBelpvMXEyRzErOWJzdSsrK092WFVVL1g2NjYrM3Uzci94bzBiTldUSWtDWnRCUVVGT3ZQTU14dmV4K054WFhQTk5RcUh3OXY4c2lHVlNxbXdzRkJ2dnZsbWsvWWpqamhDUnh4eGhFcEtTaHBHTWtoMUFUNlpURGJNOTNmT2FmejQ4Y3JOelcweVplQ1FRdzVwRWZwemNuSzIrYmtBQUFEUStSRDZBVUIxSzlsSEloSDE2OWRQa3ZUZWUrK3BiOSsrRFkvejI3cDFhNnNMKzIydlJZc1dhY21TSmZyc3M4OVVVVkdoMDA0N3JjbjJkZXZXNmJYWFh0UHh4eCt2ZmZiWnA2SDliMy83MnpZZkYvaUhQL3hCTDd6d1Fxdm5PK2lnZ3pScTFDaTk5ZFpiRGUyUFBmYVlKa3lZb05kZWUwM2R1blZUYVdtcExyamdBdDF6enowTlR3NW9ydjVMak9YTGw2dTh2THpKdHVYTGwwdVNsaXhaMG1LL3BVdVh0bGszQUFBQTlneENQNERQSGVlY1pzeVlvY2NmZjF6MzMzKy9ac3lZb1VRaW9ZY2Vla2hTM2NyN00yYk1hUEpNK2kxYnRtamZmZmZkNlhOKzhNRUhEYytzNzlldm4wNDU1WlFtMjk5OTkxM2RkZGRkMm0rLy9YVE1NY2MwdEo5MTFsbXRMdHBYcjdxNnV0Vmg5SmRkZHBsR2poeXB1KysrdTBuNzJyVnJGUXFGVkZCUXNOMjExNi9RZjhzdHQ3VFo1L3JycjkvdTR3RUFBR0RQSWZRRCtOell1bldybGk5ZnJxVkxsK29uUC9tSnhvd1pvMFdMRnVudXUrL1dzY2NlcXpGanhraVNYbnJwSmExYnQwNm5ubnBxdzc2Yk4yOVc5KzdkZC9yY1k4ZU8xWkZISHFtY25Cd2RlT0NCK3RlLy9pV3A3dEY4WnFiMzNudFBacWJpNHVJbSs5MTQ0NDNxM2J0M204ZjkrOS8vcmhrelpqUnArK3l6ejdSNjlXb2RjTUFCTGZwLzhNRUgybi8vL2JmNVJVSnpuMzMybVNUcDBVY2ZiWmdXVUcvV3JGbDY0SUVIZE1jZGQrakFBdzlzc3Uyamp6N1NUVGZkdE4zbkFRQUFRTWNqOUFQSWVtdldyTkdqano2cXlaTW5hOHVXTGZyR043Nmg4ODgvWHoxNzl0VEZGMStzbmoxNzZ1YWJiNVpVRis2ZmZQSkpqUmt6UmlOR2pHZzR4cVpObTFvTi9UVTFOWm8wYVpMZWVPTU5qUjQ5dXMwYXVuWHIxbVNZNEE5WkxnQUFENWRKUkVGVS92VHAwL1hPTysvbzVKTlBsaVM5Ly83N0dqWnNXSXNwQkxtNXVkdGNFQzhVQ3JWb216dDNyaVMxZVBUZzJyVnJOWGZ1M0NaZlpyUW1IbzlyMGFKRk92WFVVeFVPaDFWV1ZxYWVQWHUyK3ZrV0wxNHNxZTdKQWMwWDhxdC9MQ0VBQUFBeWg5QVBZS2VNSGozNmRPZmNheVVsSlZzeVhVdDdRcUdRSmsyYXBLOS8vZXY2d1E5K29BTVBQRkJ6NXN6UkZWZGNvWnljSEkwZlAxNDlldlNRYzA0MzNuaWoxcTFicC92dnY3L0pNVFp0MnFTOTl0cExVdDF3OTJuVHBtbk9uRG1xcUtqUWJiZmRwdEdqUjJ2RWlCRktKQkpOOWp2b29JTjA5dGxucTF1M2JrM2FseTFicG9NT09raFMzYno0SlV1VzZMenp6bXRSKzNYWFhiZGRDL2sxbGtna1pHYUtSQ0pOMmg5NzdER2xVaW1kZU9LSjIveDl6WjgvWC9mZWU2OU9PZVVVVlZaV2FzNmNPZnJTbDc2MHpYMEFBQURRT1JINkFleVVVQ2owa25OdWhlLzdFNE1nK0djb0ZQcGc3ZHExRllzWEw2N0tkRzNOOWV6WlUxT25UbTBJN1pMMHhodHZhTUNBQWJyMzNudlZwMDhmU2RLRUNSTTBjK1pNL2ZqSFA5WVh2L2pGaHI2TEZpMVNLcFZTLy83OXRXalJJcDExMWxrS2drRDc3NysvZnZqREgrcmtrMC9Xb0VHREpFa1RKMDVVUlVWRnc3N0Rody9YOE9IRG05U3pZY01HZmZ6eHh3MTMzS2RQbnk1SnJRYnI5aGJ5bXpCaGdpWk9uTmlrN2QxMzM5V1FJVU9hakJxWU9YT21ubjMyV1kwWk02YkZGQUtwN3N1RGVpdFdyRkMvZnYyVW01dXJWMTk5VlRVMU5UcjY2S1BicktFdHRiVzFPN3dQQUFBQU9oYWhIOEJPTTdQOUpGM2hlZDRsenJrRisreXpUNnhuejU0bHpybC96WjA3ZDM2bTYydXNjZUNYcEd1dnZWYTF0YlhLeTh0VFRVMk5icnZ0TmsyWk1rWGp4bzNUYWFlZHBsLzk2bGZhZSsrOVZWaFlxTmRmZjExNWVYbnlmVis5ZS9mV0JSZGNvSzkrOWFzYU9YSmtpL01VRlJWcCt2VHB1dWFhYXpSeTVNZ1dkK21ycXFyMCt1dXZxN2EyVnNjZGQ1d2s2YzAzMzFRNEhHNHhITDgxYjczMWx0NTU1eDNsNWVYSk9hZkpreWVyYjkrK0RkdFhybHlweFlzWDY5dmYvcmFrdWtVTEowNmNxSHZ1dVVlOWUvZHVzUmhmcjE2OUpOVjlXVkZkWGEwdFc3Wm82dFNwS2k0dVZtVmxwUjU2NkNGMTc5NWRKNTEwVXJ1MUpaTkozWHZ2dlNvc0xGUk9UazdEV2dQNzdiZGZ1L3NDQUFCZzl5RDBBOWdsemptWldaNmtpS1NJbVNXZGMxVys3eTl5enYxeDgrYk5mL25vbzQ4Mlpyck81anpQYTVnclAzWHFWRTJaTWtYZit0YTNkTjExMThuelBNMllNVVByMTYrWEpQWHQyMWUzM0hKTHc0SjZsMTkrZVp2SC9mNzN2NjhsUzVabzVzeVptalp0V3F2bjdkKy92NjYvL3ZxR2hRTUhEaHlvN3QyN3QxZ2tyelZCRU9qZi8vNjNKTW5NTkdqUUlQM29SejlxMkY2L3JYNysvV1dYWGFZNWMrWm84T0RCdXVlZWV4b2VTVmh2NE1DQk91T01NelI1OHVTR1Ivc2RkTkJCdXZqaWl4c2UxWGZKSlplMG1KNVFMeWNuUjkyN2Q1Zm5lUXFIdzNyenpUY2JIdU9YazVPajAwOC92Y21vQ1FBQUFPeFpiVThVQmRCcFJhUFJleVZkN1p4N0tCNlBYNWFoR2x6OWErZnFYcHBaazlmcGJlc2t2U0hwT1VrTGFtcHFQcHMvZi83YStuMEhENHNjSTNQUDd0V2pSNzgvUG5DdkR2L1NZWHZ1UXpUeTNudnY2YkREbXA0N0NBSUZRYUJ3dU90OFA3cGx5eGJObWpXcllWVEN1KysrcTNuejV1bDczL3ZlZG4ycDBOelNwVXMxYU5DZ0hWcnRQNVZLS1pWS0tSd083OUIrTzJQMnUrL3B4eis3VHF2V3JGa3ZwOU1YZjVDWXZsdFBDQUFBME1WMG5iOWtBYlRtZ0dnMHV1MVYyZmFBMWhhYWF4VCs5NUgwYmVmY09EUDdPQzh2YjRIdiszRkpiOGJqOFRmM2JLVnRheDc0cGJxNzhyczd0SGEwYnQyNk5Vd2JrT3JXQ2RpVlJmaGFlK3hmZTBLaFVLdFBGUUFBQU1DZVIrZ0h1cmF2TytlT3pNU0oyMXBSdnRFZC9pWS96U3hYMGxEbjNCZk43SnZPdWF0ODMvKzRKaG5Ncmt3eTZnZ0FBQURZSFFqOVFCZVVTcVZtaDBLaC8waks1TzNVbmp2U09UMzN2LzV0VXRKYVNSV0J0TG4raXdFQUFBQUFIWXZRRDNSQmE5YXNlYmxYcjE0TEplVm1xb1p3T0R5cnRmYldBbng2cm4rMXBETG4zQnhKN3dSQkVKODdkMjY4Yms2L3p0L041UUlBQUFDZlM0UitvQXVxcUtqWVdsRlJFY3RrRGRGb3RPRjE4OFg3R3I5MnpxMXh6djA5bFVyOUtSUUsvV2YxNnRXYkt5b3F0dTdaYXJ1MmQ5OTlWMXUyYk5HeHh4NmI2VklBQUFEUXhSRDZBZXlTWnNQMlpXYWJKSzBLZ3FEY09mZE1iVzN0cExLeXNzMlpxN0RyZS9ycHA3VnMyVEpDUHdBQUFIWVlvUi9BTGtrSC9pcm5YSW1admUyY2k2ZFNxWGRLU2tyS00xMGJBQUFBOEhsSDZBZXcwNXh6bjBwNkpBaUNTY2xrY3NuOCtmTTNxbTZSUG5Td3RoWTdyS3FxVW01dWJwZDd0Q0FBQUFEMkRFSS9nSjJTU3FWT1dMTm16VXptNSs4Wnk1WXQwL0xseTlXL2YvK0d0bVF5cVd1dXVVYmR1M2ZYN2JmZnJuQ1lTem9BQUFDYTRpOUVBRHRsN3R5NXIyVzZobXp4d2dzdmFOMjZkUzNhQnc0Y3FHOSs4NXVTNnU3MHYvVFNTN3I4OHNzYjN0OXl5eTJhTld1V2pqLysrRDFhTHdBQUFMb09RajhBWk5ncnI3eWlSWXNXTldtcnJxN1dtREZqR2tLL0pMMzQ0b3U2NktLTGxKdWJxOXR2djExVHAwN1Z5U2VmckZ0dXVVV2hVR2hQbHcwQUFJQXVnTkFQQUJuMjFGTlBOWGxmVzF1cjQ0NDdUc09IRDI5bzY5YXRtelp1M0tpbm4zNWFIM3p3Z2FaTm02WXp6enhUUC8vNXo1blBEd0FBZ0RZUitnR2drM243N2JlMWVmTm1mZU1iMzJobzY5T25qdzQ5OUZBOStPQ0RNak5kZmZYVk92ZmNjek5ZSlFBQUFMb0NiZzhCUUNmenlpdXZhTUNBQVUzdTlFdlNEMy80UTRWQ0lYMzV5MThtOEFNQUFHQzdFUG9Cb0JQNThNTVBOVzNhTkgzM3U5OXRzVzNRb0VFNisreXpOWHYyYlAzem4vL01RSFVBQUFEb2FnajlBTkNKUFBqZ2crclpzNmZPT09PTVZyZi85My8vdHc0NjZDRDk1amUvMFgvKzg1ODlYQjBBQUFDNkdrSS9BSFFTcjczMm1tYk1tS0Z6enoxWEJRVUZyZmJKeTh2VGJiZmRwdXJxYWwxNTVaVmF1WExsSHE0U0FBQUFYUW1oSHdBNmdkV3JWK3VPTys3UWtDRkRkTTQ1NTJ5ejcvRGh3M1hycmJkcXhZb1Z1dVNTUy9USko1L3NvU29CQUFEUTFSRDZBU0REcXFxcWRNMDExMmp6NXMyNitlYWJGUTYzLzJDVjQ0OC9Yai83MmM5VVVWR2hpeTY2U0hQbnp0MERsUUlBQUtDcklmUURRQVlGUWFBYmI3eFJwYVdsdXZycXExVlVWTFRkKzM3dmU5L1R6My8rYzYxWnMwYVhYSEtKcGsyYnRoc3JCUUFBUUZmVS91MGtBTUJ1czNidFdpMVlzRURmK2M1MzlQM3ZmNy9WUGl0WHJsUmhZV0dyMjc3NzNlK3FmLy8rZXZiWlozWEVFVWZzemxJQkFBRFFCUkg2QVNDRCt2VHBvOGNmZjF5OWV2VnFhSnM0Y2FKS1NrcFVVRkNncFV1WDZzTVBQOVMzdnZXdE5vOHhkdXhZalIwN2RrK1VDd0FBZ0M2RzBBL3NHTS8zL1V2TjdQZHIxNjd0dFhqeDRxcHRkWTVFSW9QTjdIRkpzK1B4K0hYYmU1Sm9ORHJLT1hlcnBLUE5MRjlTYVJBRWR5WVNpVW10OUYwcWFmL1dqbE5WVmRXanJLeHM4L2FlRjVuUnQyL2ZKdStUeWFTbVRKa2lTU29zTE5UWXNXTjEyV1dYWmFJMEFBQUFkSEdFZm1EN21PLzdwNWpaelpLaTdYWDJmWCtBcEorYTJlV1M4cDF6czdmM1JORm85SEJKMHlTWnBNbk91Vm96RytkNTN0OGlrY2lGaVVUaThXYTc5SEhPclpEMDcrYkhxcXlzVEc3dmVkRjVuSDMyMlRyNzdMTXpYUVlBQUFDeUFLRWZhRWR4Y2ZHd0lBaGVON05Ca3BZNjUxYVpXZCsyK2tlajBmc2tYYTY2Lzc3ZWwxUzhBNmNMT2VlZU1MT3djMjVzSXBGNFc1Sjgzei9Nek40MnM5OFBIVHIweGZMeThrMlNOR2pRb0FKSkJXYjJTaXdXTzJ1blB5UUFBQUNBck1UcS9VQTdrc2xrSDBsNWtuNVZWVlYxcUtTVjIrcnZuQ3R5emsyWDlGWG4zSjA3Y2k3Zjk0ODNzeTg2NTU2dUQveVNGSS9IMzNQT1BXdG0reFFVRkp4UzM5NnpaODgrNlplcmR1UThBQUFBQUQ0ZnVOTVB0R1BEaGczdkxWNjh1TCtrbENUNXZyL04vcWxVNnZTU2twSXQ2YjdmM3NIVG5TaEpadlp5Szl1bVNqclB6STZXOUl3a2hVS2hQcExrbk52bUZ4RUFBQUFBUHA4SS9VQTcybHVzcjduNndMK1REcFdrSUFoS20yOXd6bjFnWnBKMFNIMmI1M205SmNuTVR2SjlmMy9uM0NZem0rZWNleW1SU0t6ZmhUb0FBQUFBWkFHRzl3T2R5d0JKMnJ4NTg0cm1HOHhzWmZyblBvMmE2NGYzSDI1bUYzdWU5eE16KzdQbmVZdDkzeCszKzhzRkFBQUEwSmtSK29IT3BWQ1Njbk56VzR3dXFLbXBxWklrNTF4ZWZWc3FsWHBsNDhhTmU4ZGlzWnd0Vzdic2xVd21peVU5Sm1sdlNST0xpNHVIN2FHNkFRQUFBSFJDRE84SE9oRXpTMHBTUVVGQldGSk40MjNPdWR6MHk4cjZ0c1pUQ2RJcitzY2tYUlNOUm12TjdGTG4zSThrWGIzYkN3Y0FBQURRS1hHbkgraEVuSFBySkttMnRyWlg4MjNoY0xpUEpKbFppNkgvelFWQjhFVDY1Y2dPTFJBQUFBQkFsMExvQnpxWER5WEo4N3poelRlRVFxRmhrdVNjbTkvZVFWS3AxS1owWDlmUkJRSUFBQURvT2dqOVFDZmluSnN1U1o3bi9WY3JtMDlLLzV6YTNuSEM0ZkF4NlpmdGZrRUFBQUFBSUhzUitvRU04bjMvdUdnMGVrNmpwb25PdWZXU0xoazFhdFNJUnYwT2szU09jeTRSajhkbjFMZVBIajM2MkVnazByUFpNWTh3czl1Y2M0R1ovWG0zZndnQUFBQUFuUllMK1FFWk1uVG8wQjVtTmxWUzJQZjk1ZkY0L0kxRUlySGU5LzBmUzNveUZBck45bjMvWlRQekpJMXp6dFU0NXk2VTFEQmszL084czh4c3N1LzcweVd0TXJPRG5YTmZTWS9xdnlvV2k1Vms1TU1CQUFBQTZCUzQwdzlrU0hsNStSWkpzeVV0UzZWUzVmWHQ4WGo4S1VuanpHeWVtWjNtblB1R2MyNnE1M2xqRW9sRW92RXh6R3l5cEZJek85ck16bkhPRFpYMHNwbU5qY2ZqRCt6UkR3UUFBQUNnMCtGT1A3Q0Q0dkg0aVBaN05mVDlxeVJyWTNNUWk4V09ibTFETEJaN1JkSXI3UjAvRm90TmxqUjVlK3NCQUFBQThQbkNuWDRBQUFBQUFMSVVvUjhBQUFBQWdDekY4SDRBblVJcW1WTFpndkwyT3dLTmxDMG9WMjF0YmFiTEFBQUE2TFFJL1FBNmhhMVZWWHJnd1llVms1T1Q2VkxRaGRUVzFtcmpwazJaTGdNQUFLRFRJdlFEeUtnYUZ5elBOVnNlT0plL2Z1UEdUSmVEcnNxNUZUWE9MYzkwR1FBQUFKMU5XNnVLQThDZTRoMHc1TkJoWGpobjMwd1hncTRyWmNIcVpRdEt5aVFGbWE0R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rdi84UFJHMG96dzlJWTdj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Pages>
  <Words>99</Words>
  <Characters>100</Characters>
  <Lines>13</Lines>
  <Paragraphs>3</Paragraphs>
  <TotalTime>6</TotalTime>
  <ScaleCrop>false</ScaleCrop>
  <LinksUpToDate>false</LinksUpToDate>
  <CharactersWithSpaces>138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2024-12-16T08:38:21Z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E5AAA011046C48359A695D6CB7E20C6B_13</vt:lpwstr>
  </property>
</Properties>
</file>