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CE2" w:rsidRDefault="002B7CE2" w:rsidP="002B7CE2">
      <w:pPr>
        <w:rPr>
          <w:rFonts w:ascii="宋体" w:hAnsi="宋体"/>
          <w:b/>
          <w:sz w:val="32"/>
          <w:szCs w:val="32"/>
        </w:rPr>
      </w:pPr>
    </w:p>
    <w:p w:rsidR="002B7CE2" w:rsidRDefault="002B7CE2" w:rsidP="002B7CE2">
      <w:pPr>
        <w:jc w:val="center"/>
        <w:rPr>
          <w:rFonts w:ascii="宋体" w:hAnsi="宋体"/>
          <w:b/>
          <w:sz w:val="32"/>
          <w:szCs w:val="32"/>
        </w:rPr>
      </w:pPr>
      <w:r w:rsidRPr="008443F5">
        <w:rPr>
          <w:rFonts w:ascii="宋体" w:hAnsi="宋体" w:hint="eastAsia"/>
          <w:b/>
          <w:sz w:val="32"/>
          <w:szCs w:val="32"/>
        </w:rPr>
        <w:t>固原市</w:t>
      </w:r>
      <w:r>
        <w:rPr>
          <w:rFonts w:ascii="宋体" w:hAnsi="宋体" w:hint="eastAsia"/>
          <w:b/>
          <w:sz w:val="32"/>
          <w:szCs w:val="32"/>
        </w:rPr>
        <w:t>卫健委</w:t>
      </w:r>
      <w:r w:rsidRPr="008443F5">
        <w:rPr>
          <w:rFonts w:ascii="宋体" w:hAnsi="宋体" w:hint="eastAsia"/>
          <w:b/>
          <w:sz w:val="32"/>
          <w:szCs w:val="32"/>
        </w:rPr>
        <w:t>关于201</w:t>
      </w:r>
      <w:r>
        <w:rPr>
          <w:rFonts w:ascii="宋体" w:hAnsi="宋体" w:hint="eastAsia"/>
          <w:b/>
          <w:sz w:val="32"/>
          <w:szCs w:val="32"/>
        </w:rPr>
        <w:t>9</w:t>
      </w:r>
      <w:r w:rsidR="00582752">
        <w:rPr>
          <w:rFonts w:ascii="宋体" w:hAnsi="宋体" w:hint="eastAsia"/>
          <w:b/>
          <w:sz w:val="32"/>
          <w:szCs w:val="32"/>
        </w:rPr>
        <w:t>年</w:t>
      </w:r>
    </w:p>
    <w:p w:rsidR="002B7CE2" w:rsidRPr="008443F5" w:rsidRDefault="002B7CE2" w:rsidP="002B7CE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第</w:t>
      </w:r>
      <w:r w:rsidR="00EF52BD">
        <w:rPr>
          <w:rFonts w:ascii="宋体" w:hAnsi="宋体" w:hint="eastAsia"/>
          <w:b/>
          <w:sz w:val="32"/>
          <w:szCs w:val="32"/>
        </w:rPr>
        <w:t>四</w:t>
      </w:r>
      <w:r>
        <w:rPr>
          <w:rFonts w:ascii="宋体" w:hAnsi="宋体" w:hint="eastAsia"/>
          <w:b/>
          <w:sz w:val="32"/>
          <w:szCs w:val="32"/>
        </w:rPr>
        <w:t>季度</w:t>
      </w:r>
      <w:r w:rsidRPr="008443F5">
        <w:rPr>
          <w:rFonts w:ascii="宋体" w:hAnsi="宋体" w:hint="eastAsia"/>
          <w:b/>
          <w:sz w:val="32"/>
          <w:szCs w:val="32"/>
        </w:rPr>
        <w:t>年城市饮用水水质监测信息公示</w:t>
      </w:r>
    </w:p>
    <w:p w:rsidR="002B7CE2" w:rsidRDefault="002B7CE2" w:rsidP="002B7CE2">
      <w:pPr>
        <w:ind w:firstLineChars="200" w:firstLine="560"/>
        <w:rPr>
          <w:rFonts w:ascii="宋体" w:hAnsi="宋体"/>
          <w:sz w:val="28"/>
          <w:szCs w:val="28"/>
        </w:rPr>
      </w:pPr>
    </w:p>
    <w:p w:rsidR="002B7CE2" w:rsidRPr="008443F5" w:rsidRDefault="002B7CE2" w:rsidP="002B7CE2">
      <w:pPr>
        <w:ind w:firstLineChars="200" w:firstLine="560"/>
        <w:rPr>
          <w:rFonts w:ascii="宋体" w:hAnsi="宋体"/>
          <w:sz w:val="28"/>
          <w:szCs w:val="28"/>
        </w:rPr>
      </w:pPr>
      <w:r w:rsidRPr="008443F5">
        <w:rPr>
          <w:rFonts w:ascii="宋体" w:hAnsi="宋体" w:hint="eastAsia"/>
          <w:sz w:val="28"/>
          <w:szCs w:val="28"/>
        </w:rPr>
        <w:t>根据</w:t>
      </w:r>
      <w:r w:rsidRPr="007C60A7">
        <w:rPr>
          <w:rFonts w:ascii="宋体" w:hAnsi="宋体" w:hint="eastAsia"/>
          <w:sz w:val="28"/>
          <w:szCs w:val="28"/>
        </w:rPr>
        <w:t>《生活饮用水卫生标准》（GB 5749-2006）、《生活饮用水标准检验方法》（GB/T 5750-2006），</w:t>
      </w:r>
      <w:r w:rsidRPr="008443F5">
        <w:rPr>
          <w:rFonts w:ascii="宋体" w:hAnsi="宋体" w:hint="eastAsia"/>
          <w:sz w:val="28"/>
          <w:szCs w:val="28"/>
        </w:rPr>
        <w:t>固原市疾病预防控制中心</w:t>
      </w:r>
      <w:r>
        <w:rPr>
          <w:rFonts w:ascii="宋体" w:hAnsi="宋体" w:hint="eastAsia"/>
          <w:sz w:val="28"/>
          <w:szCs w:val="28"/>
        </w:rPr>
        <w:t>在市区抽取宁夏六盘山水务有限公司制水二厂分公司、晨光家具城、固原市火车站、原州区疾控中心、正祥国际饭店、开发区管委会办公楼、固原市水务局、原州区政府、原州区医院、固原市疾控中心</w:t>
      </w:r>
      <w:r w:rsidRPr="008443F5">
        <w:rPr>
          <w:rFonts w:ascii="宋体" w:hAnsi="宋体" w:hint="eastAsia"/>
          <w:sz w:val="28"/>
          <w:szCs w:val="28"/>
        </w:rPr>
        <w:t>10个监测点进行水质监测，共</w:t>
      </w:r>
      <w:r>
        <w:rPr>
          <w:rFonts w:ascii="宋体" w:hAnsi="宋体" w:hint="eastAsia"/>
          <w:sz w:val="28"/>
          <w:szCs w:val="28"/>
        </w:rPr>
        <w:t>监测</w:t>
      </w:r>
      <w:r w:rsidRPr="008443F5">
        <w:rPr>
          <w:rFonts w:ascii="宋体" w:hAnsi="宋体" w:hint="eastAsia"/>
          <w:sz w:val="28"/>
          <w:szCs w:val="28"/>
        </w:rPr>
        <w:t>水质指标3</w:t>
      </w:r>
      <w:r>
        <w:rPr>
          <w:rFonts w:ascii="宋体" w:hAnsi="宋体" w:hint="eastAsia"/>
          <w:sz w:val="28"/>
          <w:szCs w:val="28"/>
        </w:rPr>
        <w:t>5</w:t>
      </w:r>
      <w:r w:rsidRPr="008443F5">
        <w:rPr>
          <w:rFonts w:ascii="宋体" w:hAnsi="宋体" w:hint="eastAsia"/>
          <w:sz w:val="28"/>
          <w:szCs w:val="28"/>
        </w:rPr>
        <w:t>项，现将监测结果公示如下：</w:t>
      </w:r>
    </w:p>
    <w:p w:rsidR="002B7CE2" w:rsidRDefault="002B7CE2" w:rsidP="002B7CE2">
      <w:pPr>
        <w:spacing w:line="360" w:lineRule="auto"/>
        <w:ind w:firstLine="435"/>
      </w:pPr>
      <w:r>
        <w:rPr>
          <w:rFonts w:hint="eastAsia"/>
        </w:rPr>
        <w:t>附表：</w:t>
      </w:r>
    </w:p>
    <w:p w:rsidR="002B7CE2" w:rsidRDefault="002B7CE2" w:rsidP="002B7CE2">
      <w:pPr>
        <w:pStyle w:val="a3"/>
        <w:numPr>
          <w:ilvl w:val="0"/>
          <w:numId w:val="1"/>
        </w:numPr>
        <w:spacing w:line="360" w:lineRule="auto"/>
        <w:ind w:firstLineChars="0"/>
      </w:pPr>
      <w:r>
        <w:rPr>
          <w:rFonts w:hint="eastAsia"/>
        </w:rPr>
        <w:t>固原市</w:t>
      </w:r>
      <w:r>
        <w:rPr>
          <w:rFonts w:hint="eastAsia"/>
        </w:rPr>
        <w:t>2019</w:t>
      </w:r>
      <w:r>
        <w:rPr>
          <w:rFonts w:hint="eastAsia"/>
        </w:rPr>
        <w:t>年</w:t>
      </w:r>
      <w:r w:rsidR="00EF52BD">
        <w:rPr>
          <w:rFonts w:hint="eastAsia"/>
        </w:rPr>
        <w:t>四</w:t>
      </w:r>
      <w:r>
        <w:rPr>
          <w:rFonts w:hint="eastAsia"/>
        </w:rPr>
        <w:t>季度城市饮用水水质监测结果</w:t>
      </w: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Default="002B7CE2" w:rsidP="002B7CE2">
      <w:pPr>
        <w:rPr>
          <w:rFonts w:ascii="宋体" w:hAnsi="宋体"/>
          <w:b/>
          <w:sz w:val="28"/>
        </w:rPr>
      </w:pPr>
    </w:p>
    <w:p w:rsidR="002B7CE2" w:rsidRPr="008443F5" w:rsidRDefault="002B7CE2" w:rsidP="002B7CE2">
      <w:pPr>
        <w:rPr>
          <w:rFonts w:ascii="宋体" w:hAnsi="宋体"/>
          <w:b/>
          <w:sz w:val="28"/>
        </w:rPr>
      </w:pPr>
      <w:r w:rsidRPr="008443F5">
        <w:rPr>
          <w:rFonts w:ascii="宋体" w:hAnsi="宋体" w:hint="eastAsia"/>
          <w:b/>
          <w:sz w:val="28"/>
        </w:rPr>
        <w:lastRenderedPageBreak/>
        <w:t>附表1：</w:t>
      </w:r>
    </w:p>
    <w:p w:rsidR="002B7CE2" w:rsidRPr="008443F5" w:rsidRDefault="002B7CE2" w:rsidP="002B7CE2">
      <w:pPr>
        <w:pStyle w:val="a3"/>
        <w:ind w:leftChars="-578" w:left="636" w:hangingChars="578" w:hanging="1850"/>
        <w:jc w:val="center"/>
        <w:rPr>
          <w:rFonts w:ascii="宋体" w:hAnsi="宋体"/>
          <w:sz w:val="32"/>
        </w:rPr>
      </w:pPr>
      <w:r w:rsidRPr="008443F5">
        <w:rPr>
          <w:rFonts w:ascii="宋体" w:hAnsi="宋体" w:hint="eastAsia"/>
          <w:sz w:val="32"/>
        </w:rPr>
        <w:t xml:space="preserve">   </w:t>
      </w:r>
      <w:r w:rsidR="006F3E6E">
        <w:rPr>
          <w:rFonts w:ascii="宋体" w:hAnsi="宋体" w:hint="eastAsia"/>
          <w:sz w:val="32"/>
        </w:rPr>
        <w:t xml:space="preserve">       </w:t>
      </w:r>
      <w:r w:rsidRPr="008443F5">
        <w:rPr>
          <w:rFonts w:ascii="宋体" w:hAnsi="宋体" w:hint="eastAsia"/>
          <w:sz w:val="32"/>
        </w:rPr>
        <w:t>固原市</w:t>
      </w:r>
      <w:r>
        <w:rPr>
          <w:rFonts w:ascii="宋体" w:hAnsi="宋体" w:hint="eastAsia"/>
          <w:sz w:val="32"/>
        </w:rPr>
        <w:t>城市</w:t>
      </w:r>
      <w:r w:rsidRPr="007C60A7">
        <w:rPr>
          <w:rFonts w:ascii="宋体" w:hAnsi="宋体" w:hint="eastAsia"/>
          <w:sz w:val="32"/>
          <w:szCs w:val="32"/>
        </w:rPr>
        <w:t>饮用水水质监测</w:t>
      </w:r>
      <w:r w:rsidRPr="008443F5">
        <w:rPr>
          <w:rFonts w:ascii="宋体" w:hAnsi="宋体" w:hint="eastAsia"/>
          <w:sz w:val="32"/>
        </w:rPr>
        <w:t>结果</w:t>
      </w:r>
    </w:p>
    <w:p w:rsidR="002B7CE2" w:rsidRPr="008443F5" w:rsidRDefault="002B7CE2" w:rsidP="002B7CE2">
      <w:pPr>
        <w:pStyle w:val="a3"/>
        <w:ind w:leftChars="-578" w:left="636" w:hangingChars="578" w:hanging="1850"/>
        <w:jc w:val="center"/>
        <w:rPr>
          <w:rFonts w:ascii="宋体" w:hAnsi="宋体"/>
          <w:sz w:val="32"/>
        </w:rPr>
      </w:pPr>
      <w:r w:rsidRPr="008443F5">
        <w:rPr>
          <w:rFonts w:ascii="宋体" w:hAnsi="宋体" w:hint="eastAsia"/>
          <w:sz w:val="32"/>
        </w:rPr>
        <w:t xml:space="preserve">  </w:t>
      </w:r>
      <w:r w:rsidR="006F3E6E">
        <w:rPr>
          <w:rFonts w:ascii="宋体" w:hAnsi="宋体" w:hint="eastAsia"/>
          <w:sz w:val="32"/>
        </w:rPr>
        <w:t xml:space="preserve">      </w:t>
      </w:r>
      <w:r w:rsidRPr="008443F5">
        <w:rPr>
          <w:rFonts w:ascii="宋体" w:hAnsi="宋体" w:hint="eastAsia"/>
          <w:sz w:val="32"/>
        </w:rPr>
        <w:t>（201</w:t>
      </w:r>
      <w:r>
        <w:rPr>
          <w:rFonts w:ascii="宋体" w:hAnsi="宋体" w:hint="eastAsia"/>
          <w:sz w:val="32"/>
        </w:rPr>
        <w:t>9</w:t>
      </w:r>
      <w:r w:rsidRPr="008443F5">
        <w:rPr>
          <w:rFonts w:ascii="宋体" w:hAnsi="宋体" w:hint="eastAsia"/>
          <w:sz w:val="32"/>
        </w:rPr>
        <w:t>年第</w:t>
      </w:r>
      <w:r w:rsidR="00EF52BD">
        <w:rPr>
          <w:rFonts w:ascii="宋体" w:hAnsi="宋体" w:hint="eastAsia"/>
          <w:sz w:val="32"/>
        </w:rPr>
        <w:t>四</w:t>
      </w:r>
      <w:r w:rsidRPr="008443F5">
        <w:rPr>
          <w:rFonts w:ascii="宋体" w:hAnsi="宋体" w:hint="eastAsia"/>
          <w:sz w:val="32"/>
        </w:rPr>
        <w:t>季度）</w:t>
      </w:r>
    </w:p>
    <w:tbl>
      <w:tblPr>
        <w:tblW w:w="5063" w:type="pct"/>
        <w:jc w:val="center"/>
        <w:tblInd w:w="108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464"/>
        <w:gridCol w:w="2416"/>
        <w:gridCol w:w="1268"/>
        <w:gridCol w:w="1001"/>
        <w:gridCol w:w="1080"/>
        <w:gridCol w:w="897"/>
        <w:gridCol w:w="916"/>
        <w:gridCol w:w="587"/>
      </w:tblGrid>
      <w:tr w:rsidR="002B7CE2" w:rsidRPr="00683520" w:rsidTr="008A6670">
        <w:trPr>
          <w:jc w:val="center"/>
        </w:trPr>
        <w:tc>
          <w:tcPr>
            <w:tcW w:w="268" w:type="pct"/>
            <w:vMerge w:val="restart"/>
            <w:tcBorders>
              <w:top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序号</w:t>
            </w:r>
          </w:p>
        </w:tc>
        <w:tc>
          <w:tcPr>
            <w:tcW w:w="1400" w:type="pct"/>
            <w:vMerge w:val="restart"/>
            <w:tcBorders>
              <w:top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监测指标</w:t>
            </w:r>
          </w:p>
        </w:tc>
        <w:tc>
          <w:tcPr>
            <w:tcW w:w="735" w:type="pct"/>
            <w:vMerge w:val="restart"/>
            <w:tcBorders>
              <w:top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国家标准</w:t>
            </w:r>
          </w:p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限值</w:t>
            </w:r>
          </w:p>
        </w:tc>
        <w:tc>
          <w:tcPr>
            <w:tcW w:w="1726" w:type="pct"/>
            <w:gridSpan w:val="3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监测值</w:t>
            </w:r>
          </w:p>
        </w:tc>
        <w:tc>
          <w:tcPr>
            <w:tcW w:w="531" w:type="pct"/>
            <w:vMerge w:val="restart"/>
            <w:tcBorders>
              <w:top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监测指标</w:t>
            </w:r>
          </w:p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合格率（%）</w:t>
            </w:r>
          </w:p>
        </w:tc>
        <w:tc>
          <w:tcPr>
            <w:tcW w:w="340" w:type="pct"/>
            <w:vMerge w:val="restart"/>
            <w:tcBorders>
              <w:top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备注</w:t>
            </w:r>
          </w:p>
        </w:tc>
      </w:tr>
      <w:tr w:rsidR="002B7CE2" w:rsidRPr="00683520" w:rsidTr="008A6670">
        <w:trPr>
          <w:jc w:val="center"/>
        </w:trPr>
        <w:tc>
          <w:tcPr>
            <w:tcW w:w="268" w:type="pct"/>
            <w:vMerge/>
            <w:tcBorders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1400" w:type="pct"/>
            <w:vMerge/>
            <w:tcBorders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735" w:type="pct"/>
            <w:vMerge/>
            <w:tcBorders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580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最大值</w:t>
            </w:r>
          </w:p>
        </w:tc>
        <w:tc>
          <w:tcPr>
            <w:tcW w:w="626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最小值</w:t>
            </w:r>
          </w:p>
        </w:tc>
        <w:tc>
          <w:tcPr>
            <w:tcW w:w="520" w:type="pct"/>
            <w:tcBorders>
              <w:top w:val="single" w:sz="4" w:space="0" w:color="000000"/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平均值</w:t>
            </w:r>
          </w:p>
        </w:tc>
        <w:tc>
          <w:tcPr>
            <w:tcW w:w="531" w:type="pct"/>
            <w:vMerge/>
            <w:tcBorders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  <w:tc>
          <w:tcPr>
            <w:tcW w:w="340" w:type="pct"/>
            <w:vMerge/>
            <w:tcBorders>
              <w:bottom w:val="single" w:sz="12" w:space="0" w:color="000000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</w:p>
        </w:tc>
      </w:tr>
      <w:tr w:rsidR="002B7CE2" w:rsidRPr="001A35A6" w:rsidTr="008A6670">
        <w:trPr>
          <w:jc w:val="center"/>
        </w:trPr>
        <w:tc>
          <w:tcPr>
            <w:tcW w:w="268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</w:t>
            </w:r>
          </w:p>
        </w:tc>
        <w:tc>
          <w:tcPr>
            <w:tcW w:w="1400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色度</w:t>
            </w:r>
          </w:p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（铂钴色度单位）</w:t>
            </w:r>
          </w:p>
        </w:tc>
        <w:tc>
          <w:tcPr>
            <w:tcW w:w="735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15</w:t>
            </w:r>
          </w:p>
        </w:tc>
        <w:tc>
          <w:tcPr>
            <w:tcW w:w="580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＜5</w:t>
            </w:r>
          </w:p>
        </w:tc>
        <w:tc>
          <w:tcPr>
            <w:tcW w:w="626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＜5</w:t>
            </w:r>
          </w:p>
        </w:tc>
        <w:tc>
          <w:tcPr>
            <w:tcW w:w="520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＜5</w:t>
            </w:r>
          </w:p>
        </w:tc>
        <w:tc>
          <w:tcPr>
            <w:tcW w:w="531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single" w:sz="12" w:space="0" w:color="000000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B7CE2" w:rsidRPr="001A35A6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2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浑浊度/NTU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EF52BD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＜0.</w:t>
            </w:r>
            <w:r w:rsidR="00EF52BD">
              <w:rPr>
                <w:rFonts w:ascii="宋体" w:hAnsi="宋体" w:hint="eastAsia"/>
                <w:sz w:val="15"/>
                <w:szCs w:val="15"/>
              </w:rPr>
              <w:t>64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EF52BD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＜0.</w:t>
            </w:r>
            <w:r w:rsidR="00EF52BD">
              <w:rPr>
                <w:rFonts w:ascii="宋体" w:hAnsi="宋体" w:hint="eastAsia"/>
                <w:sz w:val="15"/>
                <w:szCs w:val="15"/>
              </w:rPr>
              <w:t>16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EF52BD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＜</w:t>
            </w:r>
            <w:r w:rsidR="00EF52BD">
              <w:rPr>
                <w:rFonts w:ascii="宋体" w:hAnsi="宋体" w:hint="eastAsia"/>
                <w:sz w:val="15"/>
                <w:szCs w:val="15"/>
              </w:rPr>
              <w:t>0.39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B7CE2" w:rsidRPr="001A35A6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3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臭和味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无异臭、异味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B7CE2" w:rsidRPr="001A35A6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4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683520" w:rsidRDefault="002B7CE2" w:rsidP="00074594">
            <w:pPr>
              <w:jc w:val="center"/>
              <w:rPr>
                <w:rFonts w:ascii="宋体" w:hAnsi="宋体"/>
                <w:b/>
                <w:sz w:val="15"/>
                <w:szCs w:val="15"/>
              </w:rPr>
            </w:pPr>
            <w:r w:rsidRPr="00683520">
              <w:rPr>
                <w:rFonts w:ascii="宋体" w:hAnsi="宋体" w:hint="eastAsia"/>
                <w:b/>
                <w:sz w:val="15"/>
                <w:szCs w:val="15"/>
              </w:rPr>
              <w:t>肉眼可见物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无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  <w:r w:rsidRPr="001A35A6">
              <w:rPr>
                <w:rFonts w:ascii="宋体" w:hAnsi="宋体" w:hint="eastAsia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1A35A6" w:rsidRDefault="002B7CE2" w:rsidP="0007459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5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pH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6.5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≤pH≤8.5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EF52BD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8.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481515" w:rsidP="00EF52BD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8</w:t>
            </w:r>
            <w:r w:rsidR="002B7CE2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.</w:t>
            </w: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</w:t>
            </w:r>
            <w:r w:rsidR="00EF52BD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EF52BD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8.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</w:t>
            </w:r>
            <w:r w:rsidR="00EF52BD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铝/（mg/L）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0.2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＜0.008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＜0.008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＜0.008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7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铁/（mg/L）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＜0.037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＜0.037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＜0.037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8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锰/（mg/L）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EF52BD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0.0286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＜0.012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EF52BD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0.016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9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铜/（mg/L）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481515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481515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481515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</w:t>
            </w:r>
            <w:r w:rsidR="00481515"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09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锌/（mg/L）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＜0.0035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ind w:leftChars="-51" w:left="1" w:rightChars="-20" w:right="-42" w:hangingChars="72" w:hanging="108"/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＜0.0035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＜0.0035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ind w:firstLineChars="150" w:firstLine="225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F52BD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11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氯化物/（mg/L）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250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481515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12.5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9.97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11.3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12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硫酸盐/（mg/L）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250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153.6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137.7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148.2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13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溶解性总固体/（mg/L）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446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421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433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14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ind w:leftChars="-104" w:left="-218"/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总硬度（以CaCO</w:t>
            </w: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  <w:vertAlign w:val="subscript"/>
              </w:rPr>
              <w:t>3</w:t>
            </w: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计）</w:t>
            </w:r>
          </w:p>
          <w:p w:rsidR="002B7CE2" w:rsidRPr="008A6670" w:rsidRDefault="002B7CE2" w:rsidP="00074594">
            <w:pPr>
              <w:ind w:leftChars="-104" w:left="-218"/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450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280.5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257.2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267.8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15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耗氧量（</w:t>
            </w:r>
            <w:proofErr w:type="spellStart"/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COD</w:t>
            </w: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  <w:vertAlign w:val="subscript"/>
              </w:rPr>
              <w:t>Mn</w:t>
            </w:r>
            <w:proofErr w:type="spellEnd"/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法，以O</w:t>
            </w: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  <w:vertAlign w:val="subscript"/>
              </w:rPr>
              <w:t>2</w:t>
            </w: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计）</w:t>
            </w:r>
          </w:p>
          <w:p w:rsidR="002B7CE2" w:rsidRPr="008A6670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A6670" w:rsidRDefault="008A6670" w:rsidP="00205EB6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1.2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A6670" w:rsidRDefault="00205EB6" w:rsidP="008A6670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8A6670"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56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A6670" w:rsidRDefault="00205EB6" w:rsidP="008A6670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8A6670"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83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A6670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A6670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挥发性酚类（以苯酚计）</w:t>
            </w:r>
          </w:p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0.002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17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阴离子合成洗涤剂</w:t>
            </w:r>
          </w:p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＜0.025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＜0.025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＜0.025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18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氨氮/（mg/L）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0.5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＜0.02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19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三氯甲烷/（mg/L）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0.06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3C2179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0.0266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3C2179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</w:t>
            </w:r>
            <w:r w:rsidR="003C2179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96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205EB6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0.0188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ind w:firstLineChars="150" w:firstLine="225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20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砷/（mg/L）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205EB6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</w:t>
            </w:r>
            <w:r w:rsidR="00205EB6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05EB6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</w:t>
            </w:r>
            <w:r w:rsidR="002B7CE2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452F56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0.001</w:t>
            </w:r>
            <w:r w:rsidR="00452F56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21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镉/（mg/L）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0.005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3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3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22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六价铬/（mg/L）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0.05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＜0.004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＜0.004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23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铅/（mg/L）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3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3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3"/>
                <w:szCs w:val="15"/>
              </w:rPr>
              <w:t>＜0.00013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汞/（mg/L）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25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硒/（mg/L）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563377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</w:t>
            </w:r>
            <w:r w:rsidR="00563377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04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563377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</w:t>
            </w:r>
            <w:r w:rsidR="00563377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563377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</w:t>
            </w:r>
            <w:r w:rsidR="00563377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04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26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氰化物/（mg/L）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0.05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＜0.002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27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氟化物/（mg/L）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1.0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452F56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0.58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3C2179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3C2179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3C2179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3C2179"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28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硝酸盐氮/（mg/L）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582752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5.58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4.54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3C2179" w:rsidRDefault="003C2179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4.92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3C2179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3C2179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29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亚氯酸盐/（mg/L）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0.7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＜0.04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＜0.04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30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四氯化碳/（mg/L）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0.002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＜0.0001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31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53124" w:rsidRDefault="00AA5BC5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余氯</w:t>
            </w:r>
            <w:r w:rsidR="002B7CE2"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/（mg/L）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≥0.01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E5312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E53124"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E5312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AA5BC5"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  <w:r w:rsidR="00E53124"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53124" w:rsidRDefault="00AA5BC5" w:rsidP="00E5312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0.</w:t>
            </w:r>
            <w:r w:rsidR="00E53124"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07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8767B2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lastRenderedPageBreak/>
              <w:t>32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8767B2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菌落总数（CFU/</w:t>
            </w:r>
            <w:proofErr w:type="spellStart"/>
            <w:r w:rsidRPr="008767B2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mL</w:t>
            </w:r>
            <w:proofErr w:type="spellEnd"/>
            <w:r w:rsidRPr="008767B2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8767B2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8767B2" w:rsidRDefault="00DD4ABB" w:rsidP="008767B2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2</w:t>
            </w:r>
            <w:r w:rsidR="008767B2"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6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8767B2" w:rsidRDefault="008767B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0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8767B2" w:rsidRDefault="008767B2" w:rsidP="008767B2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＜0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8767B2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8767B2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33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总大肠菌群（MPN/100mL）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不得检出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34</w:t>
            </w:r>
          </w:p>
        </w:tc>
        <w:tc>
          <w:tcPr>
            <w:tcW w:w="140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耐热大肠菌群（MPN/100mL）</w:t>
            </w:r>
          </w:p>
        </w:tc>
        <w:tc>
          <w:tcPr>
            <w:tcW w:w="735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不得检出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626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20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31" w:type="pct"/>
            <w:tcBorders>
              <w:top w:val="nil"/>
              <w:bottom w:val="nil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nil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  <w:tr w:rsidR="002B7CE2" w:rsidRPr="00EF52BD" w:rsidTr="008A6670">
        <w:trPr>
          <w:jc w:val="center"/>
        </w:trPr>
        <w:tc>
          <w:tcPr>
            <w:tcW w:w="268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35</w:t>
            </w:r>
          </w:p>
        </w:tc>
        <w:tc>
          <w:tcPr>
            <w:tcW w:w="1400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b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b/>
                <w:color w:val="000000" w:themeColor="text1"/>
                <w:sz w:val="15"/>
                <w:szCs w:val="15"/>
              </w:rPr>
              <w:t>大肠埃希氏菌（MPN/100mL）</w:t>
            </w:r>
          </w:p>
        </w:tc>
        <w:tc>
          <w:tcPr>
            <w:tcW w:w="735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不得检出</w:t>
            </w:r>
          </w:p>
        </w:tc>
        <w:tc>
          <w:tcPr>
            <w:tcW w:w="580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626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20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未检出</w:t>
            </w:r>
          </w:p>
        </w:tc>
        <w:tc>
          <w:tcPr>
            <w:tcW w:w="531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53124" w:rsidRDefault="002B7CE2" w:rsidP="00074594">
            <w:pPr>
              <w:jc w:val="center"/>
              <w:rPr>
                <w:rFonts w:ascii="宋体" w:hAnsi="宋体"/>
                <w:color w:val="000000" w:themeColor="text1"/>
                <w:sz w:val="15"/>
                <w:szCs w:val="15"/>
              </w:rPr>
            </w:pPr>
            <w:r w:rsidRPr="00E53124">
              <w:rPr>
                <w:rFonts w:ascii="宋体" w:hAnsi="宋体" w:hint="eastAsia"/>
                <w:color w:val="000000" w:themeColor="text1"/>
                <w:sz w:val="15"/>
                <w:szCs w:val="15"/>
              </w:rPr>
              <w:t>100%</w:t>
            </w:r>
          </w:p>
        </w:tc>
        <w:tc>
          <w:tcPr>
            <w:tcW w:w="340" w:type="pct"/>
            <w:tcBorders>
              <w:top w:val="nil"/>
              <w:bottom w:val="single" w:sz="12" w:space="0" w:color="000000"/>
            </w:tcBorders>
            <w:vAlign w:val="center"/>
          </w:tcPr>
          <w:p w:rsidR="002B7CE2" w:rsidRPr="00EF52BD" w:rsidRDefault="002B7CE2" w:rsidP="00074594">
            <w:pPr>
              <w:jc w:val="center"/>
              <w:rPr>
                <w:rFonts w:ascii="宋体" w:hAnsi="宋体"/>
                <w:color w:val="FF0000"/>
                <w:sz w:val="15"/>
                <w:szCs w:val="15"/>
              </w:rPr>
            </w:pPr>
          </w:p>
        </w:tc>
      </w:tr>
    </w:tbl>
    <w:p w:rsidR="002B7CE2" w:rsidRPr="00481515" w:rsidRDefault="002B7CE2" w:rsidP="002B7CE2">
      <w:pPr>
        <w:rPr>
          <w:color w:val="FF0000"/>
        </w:rPr>
      </w:pPr>
    </w:p>
    <w:p w:rsidR="002B7CE2" w:rsidRPr="00481515" w:rsidRDefault="002B7CE2" w:rsidP="002B7CE2">
      <w:pPr>
        <w:rPr>
          <w:color w:val="FF0000"/>
        </w:rPr>
      </w:pPr>
    </w:p>
    <w:p w:rsidR="0080674D" w:rsidRPr="00481515" w:rsidRDefault="00434055">
      <w:pPr>
        <w:rPr>
          <w:color w:val="FF0000"/>
        </w:rPr>
      </w:pPr>
    </w:p>
    <w:sectPr w:rsidR="0080674D" w:rsidRPr="00481515" w:rsidSect="00101E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055" w:rsidRDefault="00434055" w:rsidP="006F3E6E">
      <w:r>
        <w:separator/>
      </w:r>
    </w:p>
  </w:endnote>
  <w:endnote w:type="continuationSeparator" w:id="0">
    <w:p w:rsidR="00434055" w:rsidRDefault="00434055" w:rsidP="006F3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055" w:rsidRDefault="00434055" w:rsidP="006F3E6E">
      <w:r>
        <w:separator/>
      </w:r>
    </w:p>
  </w:footnote>
  <w:footnote w:type="continuationSeparator" w:id="0">
    <w:p w:rsidR="00434055" w:rsidRDefault="00434055" w:rsidP="006F3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D16A41"/>
    <w:multiLevelType w:val="hybridMultilevel"/>
    <w:tmpl w:val="7B444D06"/>
    <w:lvl w:ilvl="0" w:tplc="68DC54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95" w:hanging="420"/>
      </w:pPr>
    </w:lvl>
    <w:lvl w:ilvl="2" w:tplc="0409001B" w:tentative="1">
      <w:start w:val="1"/>
      <w:numFmt w:val="lowerRoman"/>
      <w:lvlText w:val="%3."/>
      <w:lvlJc w:val="righ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9" w:tentative="1">
      <w:start w:val="1"/>
      <w:numFmt w:val="lowerLetter"/>
      <w:lvlText w:val="%5)"/>
      <w:lvlJc w:val="left"/>
      <w:pPr>
        <w:ind w:left="2955" w:hanging="420"/>
      </w:pPr>
    </w:lvl>
    <w:lvl w:ilvl="5" w:tplc="0409001B" w:tentative="1">
      <w:start w:val="1"/>
      <w:numFmt w:val="lowerRoman"/>
      <w:lvlText w:val="%6."/>
      <w:lvlJc w:val="righ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9" w:tentative="1">
      <w:start w:val="1"/>
      <w:numFmt w:val="lowerLetter"/>
      <w:lvlText w:val="%8)"/>
      <w:lvlJc w:val="left"/>
      <w:pPr>
        <w:ind w:left="4215" w:hanging="420"/>
      </w:pPr>
    </w:lvl>
    <w:lvl w:ilvl="8" w:tplc="0409001B" w:tentative="1">
      <w:start w:val="1"/>
      <w:numFmt w:val="lowerRoman"/>
      <w:lvlText w:val="%9."/>
      <w:lvlJc w:val="right"/>
      <w:pPr>
        <w:ind w:left="463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7CE2"/>
    <w:rsid w:val="00101E83"/>
    <w:rsid w:val="001A442F"/>
    <w:rsid w:val="00205EB6"/>
    <w:rsid w:val="00232944"/>
    <w:rsid w:val="002B7CE2"/>
    <w:rsid w:val="003C2179"/>
    <w:rsid w:val="00434055"/>
    <w:rsid w:val="00452F56"/>
    <w:rsid w:val="00481515"/>
    <w:rsid w:val="00563377"/>
    <w:rsid w:val="00582752"/>
    <w:rsid w:val="00683520"/>
    <w:rsid w:val="006F3E6E"/>
    <w:rsid w:val="008767B2"/>
    <w:rsid w:val="00883819"/>
    <w:rsid w:val="008A6670"/>
    <w:rsid w:val="00904D0B"/>
    <w:rsid w:val="00AA5BC5"/>
    <w:rsid w:val="00BB704E"/>
    <w:rsid w:val="00BC056B"/>
    <w:rsid w:val="00CB5401"/>
    <w:rsid w:val="00CF1F43"/>
    <w:rsid w:val="00D064C3"/>
    <w:rsid w:val="00D4489A"/>
    <w:rsid w:val="00DA3F95"/>
    <w:rsid w:val="00DD2459"/>
    <w:rsid w:val="00DD4ABB"/>
    <w:rsid w:val="00E53124"/>
    <w:rsid w:val="00EF52BD"/>
    <w:rsid w:val="00F67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C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7CE2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F3E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F3E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F3E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F3E6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3</Pages>
  <Words>283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sxg2699</dc:creator>
  <cp:lastModifiedBy>Administrator</cp:lastModifiedBy>
  <cp:revision>10</cp:revision>
  <dcterms:created xsi:type="dcterms:W3CDTF">2019-07-08T01:42:00Z</dcterms:created>
  <dcterms:modified xsi:type="dcterms:W3CDTF">2019-12-17T07:17:00Z</dcterms:modified>
</cp:coreProperties>
</file>