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56"/>
        </w:tabs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tabs>
          <w:tab w:val="left" w:pos="13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妨碍统一市场和公平竞争的存量文件清理情况统计表</w:t>
      </w:r>
    </w:p>
    <w:p>
      <w:pPr>
        <w:tabs>
          <w:tab w:val="left" w:pos="1161"/>
        </w:tabs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报送单位：固原市市场监督管理局  联系人：马志兰</w:t>
      </w:r>
      <w:r>
        <w:rPr>
          <w:rFonts w:ascii="宋体" w:hAnsi="宋体" w:cs="宋体"/>
          <w:sz w:val="28"/>
          <w:szCs w:val="28"/>
          <w:lang w:val="e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联系电话：</w:t>
      </w:r>
      <w:r>
        <w:rPr>
          <w:rFonts w:ascii="宋体" w:hAnsi="宋体" w:cs="宋体"/>
          <w:sz w:val="28"/>
          <w:szCs w:val="28"/>
          <w:lang w:val="en"/>
        </w:rPr>
        <w:t>0954-2023915</w:t>
      </w:r>
      <w:r>
        <w:rPr>
          <w:rFonts w:hint="eastAsia" w:ascii="宋体" w:hAnsi="宋体" w:cs="宋体"/>
          <w:sz w:val="28"/>
          <w:szCs w:val="28"/>
        </w:rPr>
        <w:t xml:space="preserve">  填报时间：2025.9.</w:t>
      </w:r>
    </w:p>
    <w:tbl>
      <w:tblPr>
        <w:tblStyle w:val="4"/>
        <w:tblW w:w="13905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840"/>
        <w:gridCol w:w="1275"/>
        <w:gridCol w:w="2190"/>
        <w:gridCol w:w="2295"/>
        <w:gridCol w:w="217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文件名称及文号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违反公平竞争审查标准的具体内容或措施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清理意见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完成修改或</w:t>
            </w: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废止日期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7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《关于进一步便利部分中型厢式货车在城市道路通行的通告》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其他政策措施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356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因符合公平竞争审查制度规定继续保留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356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35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356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7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《固原市加强非标电动三四轮车管理公告》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其他政策措施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因符合公平竞争审查制度规定继续保留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  <w:t>3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西吉县人民政府办公室关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于印发《西吉县烟草制品零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售店合理布局规定》的通知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/西政办规发 〔2021〕 87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行政规范性文件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影响生产经营行为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废止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2025.8.4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烟草专卖局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西吉县人民政府关于居民天然气入户工程费收费标准的通告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行政规范性文件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影响生产经营行为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废止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2025.8.4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关于印发《支持民营经济发展保市场主体10条措施》的通知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固审批函〔2023〕6号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其他政策措施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与新法不符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废止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2025.9.15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固原市审批服务管理局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关于实行经营主体住所（经营场所）登记自主申报承诺制的通知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固审批发〔2024〕7号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其他政策措施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与新法不符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废止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2025.9.15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固原市审批服务管理局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泾源县人民政府办公室关于印发《泾源县“十四五”文化旅游产业发展规划》的通知（泾政办发[2022)35号）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其他政策措施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违反公平竞争审查标准的具体内容或措施:违法设置或者授予特许经营权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对编制内容进行修改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2025.6.18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关于印发《泾源县关于做好一季度经济工作确保实现</w:t>
            </w: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“开门红”工作方案》的通知（泾党办发[2023]15号）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其他政策措施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违反公平竞争审查标准的具体内容或措施:违法设置或者授予特许经营权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对编制内容进行修改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2025.6.18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填报说明：</w:t>
      </w:r>
    </w:p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1、该表中的清理范围是指本地区2024年7月31日之前印发的现行有效的涉及经营者经营活动的政策措施。</w:t>
      </w:r>
    </w:p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2、“类别”栏应选填法律、行政法规、地方性法规、规章、规范性文件、其他政策措施等。</w:t>
      </w:r>
    </w:p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3、“清理意见”栏应填报废止、修订或因符合公平竞争审查制度例外规定继续保留。</w:t>
      </w:r>
    </w:p>
    <w:p>
      <w:pPr>
        <w:tabs>
          <w:tab w:val="left" w:pos="1356"/>
        </w:tabs>
        <w:jc w:val="left"/>
      </w:pPr>
      <w:r>
        <w:rPr>
          <w:rFonts w:hint="eastAsia" w:ascii="仿宋_GB2312" w:hAnsi="仿宋_GB2312" w:eastAsia="仿宋_GB2312" w:cs="仿宋_GB2312"/>
          <w:sz w:val="24"/>
        </w:rPr>
        <w:t>4、因政策措施到期政策环境变化等原因被清理的文件不纳入统计范围。</w:t>
      </w: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948D"/>
    <w:rsid w:val="73FE9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2025-09-23T10:16:00Z</dcterms:created>
  <dc:creator>guyuan</dc:creator>
  <cp:lastModifiedBy>guyuan</cp:lastModifiedBy>
  <dcterms:modified xsi:type="dcterms:W3CDTF">2025-09-23T10:18:03Z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